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B47BF" w:rsidP="00A470DD" w14:paraId="2D900DE9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0A727EB0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6572CDA6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00483D7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6BD8D2DD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6E6B9244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26.06.2025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22/8-1.6/882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F736FD" w14:paraId="2FD71AD7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Dzirkstīte Jansone</w:t>
            </w:r>
          </w:p>
          <w:p w:rsidR="00102B0B" w:rsidRPr="00163E88" w:rsidP="00EC7D02" w14:paraId="6A2D6DC3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dzjansone@gmail.com</w:t>
            </w:r>
          </w:p>
        </w:tc>
      </w:tr>
      <w:tr w14:paraId="1CDD3FFE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781E603E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25.06.2025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405F2362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6EECC17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6CC1359B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F736FD" w14:paraId="0BC81742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</w:t>
            </w: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niegšanu nometnei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1630E4AB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F736FD" w:rsidRPr="00F65DFB" w:rsidP="00F736FD" w14:paraId="4B327212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>– Dienests) Rīgas reģiona pā</w:t>
      </w:r>
      <w:r>
        <w:rPr>
          <w:rFonts w:ascii="Times New Roman" w:hAnsi="Times New Roman"/>
          <w:sz w:val="28"/>
          <w:lang w:val="lv-LV"/>
        </w:rPr>
        <w:t>rvalde (turpmāk – Pārvalde) 2025</w:t>
      </w:r>
      <w:r w:rsidRPr="00F65DFB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 </w:t>
      </w:r>
      <w:r w:rsidRPr="00F65DFB">
        <w:rPr>
          <w:rFonts w:ascii="Times New Roman" w:hAnsi="Times New Roman"/>
          <w:sz w:val="28"/>
          <w:lang w:val="lv-LV"/>
        </w:rPr>
        <w:t xml:space="preserve">gada </w:t>
      </w:r>
      <w:r>
        <w:rPr>
          <w:rFonts w:ascii="Times New Roman" w:hAnsi="Times New Roman"/>
          <w:sz w:val="28"/>
          <w:lang w:val="lv-LV"/>
        </w:rPr>
        <w:t>25</w:t>
      </w:r>
      <w:r w:rsidRPr="00F65DFB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 jūnijā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iesniegumus ar lūgumu iz</w:t>
      </w:r>
      <w:r w:rsidRPr="00F65DFB">
        <w:rPr>
          <w:rFonts w:ascii="Times New Roman" w:hAnsi="Times New Roman"/>
          <w:sz w:val="28"/>
          <w:lang w:val="lv-LV"/>
        </w:rPr>
        <w:t>sniegt atzinumu par telpu at</w:t>
      </w:r>
      <w:r>
        <w:rPr>
          <w:rFonts w:ascii="Times New Roman" w:hAnsi="Times New Roman"/>
          <w:sz w:val="28"/>
          <w:lang w:val="lv-LV"/>
        </w:rPr>
        <w:t xml:space="preserve">bilstību ugunsdrošības prasībām </w:t>
      </w:r>
      <w:r w:rsidRPr="00F65DFB">
        <w:rPr>
          <w:rFonts w:ascii="Times New Roman" w:hAnsi="Times New Roman"/>
          <w:sz w:val="28"/>
          <w:lang w:val="lv-LV"/>
        </w:rPr>
        <w:t>d</w:t>
      </w:r>
      <w:r>
        <w:rPr>
          <w:rFonts w:ascii="Times New Roman" w:hAnsi="Times New Roman"/>
          <w:sz w:val="28"/>
          <w:lang w:val="lv-LV"/>
        </w:rPr>
        <w:t>ienas nometņu “</w:t>
      </w:r>
      <w:r w:rsidRPr="007207B2">
        <w:rPr>
          <w:rFonts w:ascii="Times New Roman" w:hAnsi="Times New Roman"/>
          <w:sz w:val="28"/>
          <w:lang w:val="lv-LV"/>
        </w:rPr>
        <w:t>Smejies! Smaidi! Piedzīvo!</w:t>
      </w:r>
      <w:r>
        <w:rPr>
          <w:rFonts w:ascii="Times New Roman" w:hAnsi="Times New Roman"/>
          <w:sz w:val="28"/>
          <w:lang w:val="lv-LV"/>
        </w:rPr>
        <w:t xml:space="preserve">” (30.06.2025. - 04.07.2025. un 07.07.2025. - 11.07.2025.) (turpmāk – Nometnes) rīkošanai Ādažu sākumskolā, Attekas ielā 16, Ādažos, Ādažu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F736FD" w:rsidRPr="00F65DFB" w:rsidP="00F736FD" w14:paraId="694EF2A1" w14:textId="7337F1F5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</w:t>
      </w:r>
      <w:r w:rsidRPr="00F65DFB">
        <w:rPr>
          <w:rFonts w:ascii="Times New Roman" w:hAnsi="Times New Roman"/>
          <w:sz w:val="28"/>
          <w:lang w:val="lv-LV"/>
        </w:rPr>
        <w:t xml:space="preserve">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</w:t>
      </w:r>
      <w:r w:rsidR="00F24C2A">
        <w:rPr>
          <w:rFonts w:ascii="Times New Roman" w:hAnsi="Times New Roman"/>
          <w:sz w:val="28"/>
          <w:szCs w:val="28"/>
          <w:lang w:val="lv-LV" w:eastAsia="lv-LV"/>
        </w:rPr>
        <w:t> 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gada 1.</w:t>
      </w:r>
      <w:r w:rsidR="00F24C2A">
        <w:rPr>
          <w:rFonts w:ascii="Times New Roman" w:hAnsi="Times New Roman"/>
          <w:sz w:val="28"/>
          <w:szCs w:val="28"/>
          <w:lang w:val="lv-LV" w:eastAsia="lv-LV"/>
        </w:rPr>
        <w:t> 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2025.</w:t>
      </w:r>
      <w:r w:rsidR="00F24C2A">
        <w:rPr>
          <w:rFonts w:ascii="Times New Roman" w:hAnsi="Times New Roman"/>
          <w:sz w:val="28"/>
          <w:lang w:val="lv-LV"/>
        </w:rPr>
        <w:t> </w:t>
      </w:r>
      <w:r>
        <w:rPr>
          <w:rFonts w:ascii="Times New Roman" w:hAnsi="Times New Roman"/>
          <w:sz w:val="28"/>
          <w:lang w:val="lv-LV"/>
        </w:rPr>
        <w:t>gada 27.</w:t>
      </w:r>
      <w:r w:rsidR="00F24C2A">
        <w:rPr>
          <w:rFonts w:ascii="Times New Roman" w:hAnsi="Times New Roman"/>
          <w:sz w:val="28"/>
          <w:lang w:val="lv-LV"/>
        </w:rPr>
        <w:t> </w:t>
      </w:r>
      <w:r>
        <w:rPr>
          <w:rFonts w:ascii="Times New Roman" w:hAnsi="Times New Roman"/>
          <w:sz w:val="28"/>
          <w:lang w:val="lv-LV"/>
        </w:rPr>
        <w:t>maijā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F736FD" w:rsidRPr="00F736FD" w:rsidP="00A01F82" w14:paraId="0E3F295C" w14:textId="58F02C6D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atgādina, ka Nometnes rīkošanas laikā jāievēro </w:t>
      </w:r>
      <w:r w:rsidRPr="00F65DFB">
        <w:rPr>
          <w:rFonts w:ascii="Times New Roman" w:hAnsi="Times New Roman"/>
          <w:sz w:val="28"/>
          <w:lang w:val="lv-LV"/>
        </w:rPr>
        <w:t>M</w:t>
      </w:r>
      <w:r>
        <w:rPr>
          <w:rFonts w:ascii="Times New Roman" w:hAnsi="Times New Roman"/>
          <w:sz w:val="28"/>
          <w:lang w:val="lv-LV"/>
        </w:rPr>
        <w:t>inistru kabineta 2016.</w:t>
      </w:r>
      <w:r w:rsidR="00F24C2A">
        <w:rPr>
          <w:rFonts w:ascii="Times New Roman" w:hAnsi="Times New Roman"/>
          <w:sz w:val="28"/>
          <w:lang w:val="lv-LV"/>
        </w:rPr>
        <w:t> </w:t>
      </w:r>
      <w:r>
        <w:rPr>
          <w:rFonts w:ascii="Times New Roman" w:hAnsi="Times New Roman"/>
          <w:sz w:val="28"/>
          <w:lang w:val="lv-LV"/>
        </w:rPr>
        <w:t>gada 19.</w:t>
      </w:r>
      <w:r w:rsidR="00F24C2A">
        <w:rPr>
          <w:rFonts w:ascii="Times New Roman" w:hAnsi="Times New Roman"/>
          <w:sz w:val="28"/>
          <w:lang w:val="lv-LV"/>
        </w:rPr>
        <w:t> 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</w:t>
      </w:r>
      <w:r w:rsidR="00A01F82">
        <w:rPr>
          <w:rFonts w:ascii="Times New Roman" w:hAnsi="Times New Roman"/>
          <w:sz w:val="28"/>
          <w:lang w:val="lv-LV"/>
        </w:rPr>
        <w:t xml:space="preserve">eiktās prasības. Papildus darām </w:t>
      </w:r>
      <w:r w:rsidRPr="00F65DFB">
        <w:rPr>
          <w:rFonts w:ascii="Times New Roman" w:hAnsi="Times New Roman"/>
          <w:sz w:val="28"/>
          <w:lang w:val="lv-LV"/>
        </w:rPr>
        <w:t>zināmu, ka fizisko un juridisko personu pienākums ir nepieļaut ugunsgrēka izcelšanos.</w:t>
      </w:r>
    </w:p>
    <w:p w:rsidR="00A01F82" w:rsidP="00D7638F" w14:paraId="45E51526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A01F82" w:rsidP="00D7638F" w14:paraId="5D5E4D9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28226A97" w14:textId="00692934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4B5FF739" w14:textId="3B73EF20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="00A01F82"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  <w:bookmarkStart w:id="2" w:name="_GoBack"/>
      <w:bookmarkEnd w:id="2"/>
    </w:p>
    <w:p w:rsidR="00F736FD" w:rsidP="00D7638F" w14:paraId="70A16991" w14:textId="516264B3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A01F82" w:rsidP="00D7638F" w14:paraId="46BE1911" w14:textId="05D48C8D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A01F82" w:rsidP="00D7638F" w14:paraId="4620BBDD" w14:textId="70D3E16D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A01F82" w:rsidP="00D7638F" w14:paraId="0B7C1221" w14:textId="31D03576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A01F82" w:rsidP="00D7638F" w14:paraId="1B9FAF8F" w14:textId="581EC38F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A01F82" w:rsidRPr="00D7638F" w:rsidP="00D7638F" w14:paraId="6E1594D4" w14:textId="0715AEE6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A01F82" w:rsidP="00102B0B" w14:paraId="7B5BD41C" w14:textId="77777777">
      <w:pPr>
        <w:pStyle w:val="Footer"/>
        <w:rPr>
          <w:rFonts w:ascii="Times New Roman" w:hAnsi="Times New Roman"/>
          <w:lang w:val="lv-LV"/>
        </w:rPr>
      </w:pPr>
      <w:r w:rsidRPr="00A01F82">
        <w:rPr>
          <w:rFonts w:ascii="Times New Roman" w:hAnsi="Times New Roman"/>
          <w:noProof/>
          <w:lang w:val="lv-LV"/>
        </w:rPr>
        <w:t>Kristiāna Ķikure</w:t>
      </w:r>
      <w:r w:rsidRPr="00A01F82">
        <w:rPr>
          <w:rFonts w:ascii="Times New Roman" w:hAnsi="Times New Roman"/>
          <w:lang w:val="lv-LV"/>
        </w:rPr>
        <w:t>, 26173719</w:t>
      </w:r>
    </w:p>
    <w:p w:rsidR="00102B0B" w:rsidRPr="00A01F82" w:rsidP="00102B0B" w14:paraId="0CE540D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lang w:val="lv-LV"/>
        </w:rPr>
      </w:pPr>
      <w:r w:rsidRPr="00A01F82">
        <w:rPr>
          <w:rFonts w:ascii="Times New Roman" w:hAnsi="Times New Roman"/>
          <w:noProof/>
          <w:lang w:val="lv-LV"/>
        </w:rPr>
        <w:t>kristiana.kikure@vugd.gov.lv</w:t>
      </w:r>
    </w:p>
    <w:p w:rsidR="00D21FA6" w:rsidRPr="00F736FD" w:rsidP="00A01F82" w14:paraId="6F15E6CF" w14:textId="785C46D1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176ED617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F736FD" w:rsidP="00F736FD" w14:paraId="1217F7C4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3A5B5761" w14:textId="77777777">
    <w:pPr>
      <w:pStyle w:val="Header"/>
      <w:rPr>
        <w:rFonts w:ascii="Times New Roman" w:hAnsi="Times New Roman"/>
      </w:rPr>
    </w:pPr>
  </w:p>
  <w:p w:rsidR="00C51775" w:rsidP="00C51775" w14:paraId="5D33F4DC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2D4586D9" w14:textId="77777777">
    <w:pPr>
      <w:pStyle w:val="Header"/>
      <w:rPr>
        <w:rFonts w:ascii="Times New Roman" w:hAnsi="Times New Roman"/>
      </w:rPr>
    </w:pPr>
  </w:p>
  <w:p w:rsidR="00C51775" w:rsidP="00C51775" w14:paraId="5F52EE06" w14:textId="77777777">
    <w:pPr>
      <w:pStyle w:val="Header"/>
      <w:rPr>
        <w:rFonts w:ascii="Times New Roman" w:hAnsi="Times New Roman"/>
      </w:rPr>
    </w:pPr>
  </w:p>
  <w:p w:rsidR="00C51775" w:rsidP="00C51775" w14:paraId="0B82490E" w14:textId="77777777">
    <w:pPr>
      <w:pStyle w:val="Header"/>
      <w:rPr>
        <w:rFonts w:ascii="Times New Roman" w:hAnsi="Times New Roman"/>
      </w:rPr>
    </w:pPr>
  </w:p>
  <w:p w:rsidR="00C51775" w:rsidP="00C51775" w14:paraId="20394EA4" w14:textId="77777777">
    <w:pPr>
      <w:pStyle w:val="Header"/>
      <w:rPr>
        <w:rFonts w:ascii="Times New Roman" w:hAnsi="Times New Roman"/>
      </w:rPr>
    </w:pPr>
  </w:p>
  <w:p w:rsidR="00C51775" w:rsidP="00C51775" w14:paraId="518AB807" w14:textId="77777777">
    <w:pPr>
      <w:pStyle w:val="Header"/>
      <w:rPr>
        <w:rFonts w:ascii="Times New Roman" w:hAnsi="Times New Roman"/>
      </w:rPr>
    </w:pPr>
  </w:p>
  <w:p w:rsidR="00C51775" w:rsidP="00C51775" w14:paraId="51C2C533" w14:textId="77777777">
    <w:pPr>
      <w:pStyle w:val="Header"/>
      <w:rPr>
        <w:rFonts w:ascii="Times New Roman" w:hAnsi="Times New Roman"/>
      </w:rPr>
    </w:pPr>
  </w:p>
  <w:p w:rsidR="00C51775" w:rsidP="00C51775" w14:paraId="38141B81" w14:textId="77777777">
    <w:pPr>
      <w:pStyle w:val="Header"/>
      <w:rPr>
        <w:rFonts w:ascii="Times New Roman" w:hAnsi="Times New Roman"/>
      </w:rPr>
    </w:pPr>
  </w:p>
  <w:p w:rsidR="00C51775" w:rsidRPr="00815277" w:rsidP="00C51775" w14:paraId="767005DE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0C58822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3A8567D6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2AED3E88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429E05F7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50576"/>
    <w:rsid w:val="0039017B"/>
    <w:rsid w:val="003965D3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207B2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01F82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40E84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24C2A"/>
    <w:rsid w:val="00F31EAB"/>
    <w:rsid w:val="00F65DFB"/>
    <w:rsid w:val="00F736FD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F5FE3F8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7</cp:revision>
  <cp:lastPrinted>2015-02-05T09:55:00Z</cp:lastPrinted>
  <dcterms:created xsi:type="dcterms:W3CDTF">2021-08-25T05:58:00Z</dcterms:created>
  <dcterms:modified xsi:type="dcterms:W3CDTF">2025-06-25T13:20:00Z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