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6A3AB2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A6A3AB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6A3AB5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A6A3AB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A6A3AB4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A6A3AB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A6A3AB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A6A3AB7" w14:textId="18B1DA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A6A3A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A6A3AB9" w14:textId="4E530F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BJBC Rīga</w:t>
            </w:r>
          </w:p>
        </w:tc>
      </w:tr>
      <w:tr w14:paraId="1A6A3ABE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A6A3AB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6A3A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6A3A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A6A3AC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A6A3A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6A3A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6A3AC1" w14:textId="7841C8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Nr.3370902494</w:t>
            </w:r>
          </w:p>
        </w:tc>
      </w:tr>
      <w:tr w14:paraId="1A6A3AC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A6A3A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6A3A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A6A3A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A6A3AC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A6A3A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6A3A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6A3AC9" w14:textId="44F5CC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Barona iela 107, Rīga, LV-1012</w:t>
            </w:r>
          </w:p>
        </w:tc>
      </w:tr>
      <w:tr w14:paraId="1A6A3AC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A6A3A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6A3A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6A3A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A6A3AC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6A3AD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/61</w:t>
      </w:r>
    </w:p>
    <w:p w:rsidR="00C959F6" w:rsidP="00070E23" w14:paraId="1A6A3AD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5C2616" w14:paraId="1A6A3AD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6987517E" w14:textId="77777777" w:rsidTr="00E6205D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11DC9" w:rsidRPr="00E227D8" w:rsidP="00E6205D" w14:paraId="25AF6B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DC9" w:rsidRPr="00E227D8" w:rsidP="00E6205D" w14:paraId="55B70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F22B3">
              <w:rPr>
                <w:rFonts w:ascii="Times New Roman" w:hAnsi="Times New Roman" w:cs="Times New Roman"/>
                <w:sz w:val="24"/>
              </w:rPr>
              <w:t>Valdemārpils vidusskola</w:t>
            </w:r>
            <w:r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7ACC2969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1DC9" w:rsidRPr="00070E23" w:rsidP="00E6205D" w14:paraId="074E2F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1DC9" w:rsidRPr="00070E23" w:rsidP="00E6205D" w14:paraId="5D78B5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9D0FCE6" w14:textId="77777777" w:rsidTr="00E6205D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11DC9" w:rsidRPr="00E227D8" w:rsidP="00E6205D" w14:paraId="055D90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DC9" w:rsidRPr="00E227D8" w:rsidP="00E6205D" w14:paraId="718581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F22B3">
              <w:rPr>
                <w:rFonts w:ascii="Times New Roman" w:hAnsi="Times New Roman" w:cs="Times New Roman"/>
                <w:sz w:val="24"/>
              </w:rPr>
              <w:t>Valdemārpils vidusskola, Skolas iela 3, Valdemārpils, Talsu novads.</w:t>
            </w:r>
          </w:p>
        </w:tc>
      </w:tr>
      <w:tr w14:paraId="18F8828B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1DC9" w:rsidRPr="00070E23" w:rsidP="00E6205D" w14:paraId="5182C7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C11DC9" w:rsidRPr="00070E23" w:rsidP="00E6205D" w14:paraId="212163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1BB33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1DC9" w:rsidRPr="00E227D8" w:rsidP="00E6205D" w14:paraId="10B4BA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DC9" w:rsidRPr="00CF01A3" w:rsidP="00E6205D" w14:paraId="0065ABF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Talsu novada pašvaldība,</w:t>
            </w:r>
          </w:p>
        </w:tc>
      </w:tr>
      <w:tr w14:paraId="26006BF5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1DC9" w:rsidRPr="00070E23" w:rsidP="00E6205D" w14:paraId="26F7896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1DC9" w:rsidRPr="00070E23" w:rsidP="00E6205D" w14:paraId="015E9E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861BF26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1DC9" w:rsidRPr="00E227D8" w:rsidP="00E6205D" w14:paraId="793A65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DC9" w:rsidRPr="00E227D8" w:rsidP="00E6205D" w14:paraId="504C40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A3">
              <w:rPr>
                <w:rFonts w:ascii="Times New Roman" w:hAnsi="Times New Roman" w:cs="Times New Roman"/>
                <w:sz w:val="24"/>
              </w:rPr>
              <w:t>Reģistrācijas Nr.90009113532, Talsi, Kareivju iela 7,  Talsu novads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CF01A3">
              <w:rPr>
                <w:rFonts w:ascii="Times New Roman" w:hAnsi="Times New Roman" w:cs="Times New Roman"/>
                <w:sz w:val="24"/>
              </w:rPr>
              <w:t xml:space="preserve"> LV-3201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D78E1B0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1DC9" w:rsidRPr="00070E23" w:rsidP="00E6205D" w14:paraId="78EECC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1DC9" w:rsidRPr="00070E23" w:rsidP="00E6205D" w14:paraId="7C1E9C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52ED3CD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1DC9" w:rsidRPr="00E227D8" w:rsidP="00E6205D" w14:paraId="6176DF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DC9" w:rsidRPr="00E227D8" w:rsidP="00204E40" w14:paraId="2870A9CD" w14:textId="5EDAB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04E40">
              <w:rPr>
                <w:rFonts w:ascii="Times New Roman" w:hAnsi="Times New Roman" w:cs="Times New Roman"/>
                <w:sz w:val="24"/>
              </w:rPr>
              <w:t xml:space="preserve">Mārča </w:t>
            </w:r>
            <w:r w:rsidR="00204E40">
              <w:rPr>
                <w:rFonts w:ascii="Times New Roman" w:hAnsi="Times New Roman" w:cs="Times New Roman"/>
                <w:sz w:val="24"/>
              </w:rPr>
              <w:t>Strīgela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2BD1">
              <w:rPr>
                <w:rFonts w:ascii="Times New Roman" w:hAnsi="Times New Roman" w:cs="Times New Roman"/>
                <w:sz w:val="24"/>
              </w:rPr>
              <w:t xml:space="preserve">iesniegums Valsts ugunsdzēsības un glābšanas dienesta Kurzemes reģiona pārvaldē reģistrēts </w:t>
            </w:r>
            <w:r w:rsidR="00E145CC">
              <w:rPr>
                <w:rFonts w:ascii="Times New Roman" w:hAnsi="Times New Roman" w:cs="Times New Roman"/>
                <w:sz w:val="24"/>
              </w:rPr>
              <w:t>2025.gada 26.maijā</w:t>
            </w:r>
            <w:r w:rsidRPr="00392BD1">
              <w:rPr>
                <w:rFonts w:ascii="Times New Roman" w:hAnsi="Times New Roman" w:cs="Times New Roman"/>
                <w:sz w:val="24"/>
              </w:rPr>
              <w:t xml:space="preserve"> ar Nr.</w:t>
            </w:r>
            <w:r w:rsidRPr="00392BD1">
              <w:t xml:space="preserve"> </w:t>
            </w:r>
            <w:r w:rsidR="00E145CC">
              <w:rPr>
                <w:rFonts w:ascii="Times New Roman" w:hAnsi="Times New Roman" w:cs="Times New Roman"/>
                <w:sz w:val="24"/>
              </w:rPr>
              <w:t>22/12-1.4/312</w:t>
            </w:r>
            <w:r w:rsidRPr="00392BD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CF21021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1DC9" w:rsidRPr="00070E23" w:rsidP="00E6205D" w14:paraId="708007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1DC9" w:rsidRPr="00070E23" w:rsidP="00E6205D" w14:paraId="7A9ABA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111FF1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1DC9" w:rsidRPr="00E227D8" w:rsidP="00E6205D" w14:paraId="0D6182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DC9" w:rsidRPr="00E227D8" w:rsidP="00E6205D" w14:paraId="70C7122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E50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 signalizācijas sistēmu (turpmāk </w:t>
            </w:r>
            <w:r>
              <w:rPr>
                <w:rFonts w:ascii="Times New Roman" w:hAnsi="Times New Roman" w:cs="Times New Roman"/>
                <w:sz w:val="24"/>
              </w:rPr>
              <w:t>– AUATSS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81E50">
              <w:rPr>
                <w:rFonts w:ascii="Times New Roman" w:hAnsi="Times New Roman" w:cs="Times New Roman"/>
                <w:sz w:val="24"/>
                <w:szCs w:val="24"/>
              </w:rPr>
              <w:t xml:space="preserve">Ēkā ir ierīkota automātiskā ugunsgrēka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balss </w:t>
            </w:r>
            <w:r w:rsidRPr="00381E50"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sistēma.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Ēka nodrošināta</w:t>
            </w:r>
            <w:r w:rsidRPr="00381E50">
              <w:rPr>
                <w:rFonts w:ascii="Times New Roman" w:hAnsi="Times New Roman" w:cs="Times New Roman"/>
                <w:sz w:val="24"/>
                <w:szCs w:val="24"/>
              </w:rPr>
              <w:t xml:space="preserve"> ar ugunsdzēsības aparātiem.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Sporta zāle aprīkota ar</w:t>
            </w:r>
            <w:r w:rsidRPr="00381E50">
              <w:rPr>
                <w:rFonts w:ascii="Times New Roman" w:hAnsi="Times New Roman" w:cs="Times New Roman"/>
                <w:sz w:val="24"/>
                <w:szCs w:val="24"/>
              </w:rPr>
              <w:t xml:space="preserve"> iekšējo ugunsdzēsības ūdensvada sistēmu.</w:t>
            </w:r>
          </w:p>
        </w:tc>
      </w:tr>
      <w:tr w14:paraId="521D6A58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1DC9" w:rsidRPr="00070E23" w:rsidP="00E6205D" w14:paraId="4C0321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1DC9" w:rsidRPr="00070E23" w:rsidP="00E6205D" w14:paraId="2F184B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2E1D35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1DC9" w:rsidRPr="00E227D8" w:rsidP="00E6205D" w14:paraId="4D859B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DC9" w:rsidRPr="00E227D8" w:rsidP="00E6205D" w14:paraId="1998DB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7D1EBAF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1DC9" w:rsidP="00E6205D" w14:paraId="3C2347C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DC9" w:rsidP="00E6205D" w14:paraId="3086839A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440954">
              <w:rPr>
                <w:rFonts w:ascii="Times New Roman" w:hAnsi="Times New Roman" w:cs="Times New Roman"/>
                <w:sz w:val="24"/>
              </w:rPr>
              <w:t xml:space="preserve">Objekta durvis ugunsdrošā konstrukcijā nav pastāvīgi aizvērtā stāvoklī un to aizvēršanu nenodrošina </w:t>
            </w:r>
            <w:r>
              <w:rPr>
                <w:rFonts w:ascii="Times New Roman" w:hAnsi="Times New Roman" w:cs="Times New Roman"/>
                <w:sz w:val="24"/>
              </w:rPr>
              <w:t xml:space="preserve">AUATSS,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kā rezultātā nav ievērota </w:t>
            </w:r>
            <w:r w:rsidRPr="00A2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Ministru kabine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ta 2016.gada 19.aprīļa noteikumu</w:t>
            </w:r>
            <w:r w:rsidRPr="00A2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Nr.238 „Ugu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nsdrošības noteikumi”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(turpmāk </w:t>
            </w:r>
            <w:r>
              <w:rPr>
                <w:rFonts w:ascii="Times New Roman" w:hAnsi="Times New Roman" w:cs="Times New Roman"/>
                <w:sz w:val="24"/>
              </w:rPr>
              <w:t xml:space="preserve">–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Ugunsdrošības noteikumi) </w:t>
            </w:r>
            <w:r>
              <w:rPr>
                <w:rFonts w:ascii="Times New Roman" w:hAnsi="Times New Roman"/>
                <w:sz w:val="24"/>
                <w:szCs w:val="24"/>
              </w:rPr>
              <w:t>20.punkta prasība;</w:t>
            </w:r>
          </w:p>
          <w:p w:rsidR="00C11DC9" w:rsidP="00E6205D" w14:paraId="337375A6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>Objektā ugunsdzēsības hidranta akas vāks nav nokrāsots sarkanā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krāsā,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104.punkta prasība;</w:t>
            </w:r>
          </w:p>
          <w:p w:rsidR="00C11DC9" w:rsidP="00E6205D" w14:paraId="6F753ED0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6.3.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>Objektā ierīkotas stadiona tribīnes cieši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blakus ugunsdzēsības hidrantam,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109.1.apakšpunkta prasība;</w:t>
            </w:r>
          </w:p>
          <w:p w:rsidR="00C11DC9" w:rsidP="00E6205D" w14:paraId="7FF7A5C6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6.4.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Ugunsdzēsības sūkņa un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>elektroaizbīdņa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manuālās tālvadības iedarbināšanas ierīci izvieto pieejamā vietā, nodrošina ar paskaidrojošu uzrakstu un aizsargā pret nejaušu iedarbināšanu, proti ugunsdzēsības ūdens vada krānu skapjos novietotajām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>elektroaizbīdņa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manuālās tālvadības iedarbināšanas ier</w:t>
            </w:r>
            <w:r>
              <w:rPr>
                <w:rFonts w:ascii="Times New Roman" w:hAnsi="Times New Roman"/>
                <w:sz w:val="24"/>
                <w:szCs w:val="24"/>
              </w:rPr>
              <w:t>īcēm nav paskaidrojošu uzrakstu,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115.punkta prasība;</w:t>
            </w:r>
          </w:p>
          <w:p w:rsidR="00C11DC9" w:rsidP="00E6205D" w14:paraId="5A9F92A4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6.5.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Objektā </w:t>
            </w:r>
            <w:r>
              <w:rPr>
                <w:rFonts w:ascii="Times New Roman" w:hAnsi="Times New Roman" w:cs="Times New Roman"/>
                <w:sz w:val="24"/>
              </w:rPr>
              <w:t>AUATSS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netiek uzturēta darba kārtībā, bet tieši, panel</w:t>
            </w:r>
            <w:r>
              <w:rPr>
                <w:rFonts w:ascii="Times New Roman" w:hAnsi="Times New Roman"/>
                <w:sz w:val="24"/>
                <w:szCs w:val="24"/>
              </w:rPr>
              <w:t>is uzrāda bojājumu akumulatoram,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123.punkta prasība;</w:t>
            </w:r>
          </w:p>
          <w:p w:rsidR="00C11DC9" w:rsidP="00E6205D" w14:paraId="36C98534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6.6.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>Objektā automātiskā ugunsgrēka balss izziņošanas sistēma netiek uzturēta darba kārtībā, bet tieši, sistēma uzrāda dzel</w:t>
            </w:r>
            <w:r>
              <w:rPr>
                <w:rFonts w:ascii="Times New Roman" w:hAnsi="Times New Roman"/>
                <w:sz w:val="24"/>
                <w:szCs w:val="24"/>
              </w:rPr>
              <w:t>tenu indikāciju pie akumulatora,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123.punkta prasība;</w:t>
            </w:r>
          </w:p>
          <w:p w:rsidR="00C11DC9" w:rsidP="00E6205D" w14:paraId="6C07FDBF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6.7. 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Objektā netiek uzglabāta </w:t>
            </w:r>
            <w:r>
              <w:rPr>
                <w:rFonts w:ascii="Times New Roman" w:hAnsi="Times New Roman" w:cs="Times New Roman"/>
                <w:sz w:val="24"/>
              </w:rPr>
              <w:t>AUATSS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būvniecības ieceres dokumentācija vai tās apliecināta kopija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125.punkta prasība;</w:t>
            </w:r>
          </w:p>
          <w:p w:rsidR="00C11DC9" w:rsidP="00E6205D" w14:paraId="099E6AC5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6.8.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Objektā </w:t>
            </w:r>
            <w:r>
              <w:rPr>
                <w:rFonts w:ascii="Times New Roman" w:hAnsi="Times New Roman" w:cs="Times New Roman"/>
                <w:sz w:val="24"/>
              </w:rPr>
              <w:t>AUATSS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iedarbošanās gadījumu un bojājumu uzskaites žurnāls nav aizpildīts, bet tieši, nav veikts ieraksts par bojājumu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131.punkta prasība;</w:t>
            </w:r>
          </w:p>
          <w:p w:rsidR="00C11DC9" w:rsidP="00E6205D" w14:paraId="1D72CE14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6.9.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Objektā </w:t>
            </w:r>
            <w:r>
              <w:rPr>
                <w:rFonts w:ascii="Times New Roman" w:hAnsi="Times New Roman" w:cs="Times New Roman"/>
                <w:sz w:val="24"/>
              </w:rPr>
              <w:t>AUATSS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darbspēja nav atjaunota 24 stundu laikā no ugunsaizsardzības sistēmas iedarbošanās vai bojājuma konstatēšanas brīža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132.punkta prasība;</w:t>
            </w:r>
          </w:p>
          <w:p w:rsidR="00C11DC9" w:rsidP="00E6205D" w14:paraId="585885D1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6.10.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Objekt</w:t>
            </w:r>
            <w:r>
              <w:rPr>
                <w:rFonts w:ascii="Times New Roman" w:hAnsi="Times New Roman"/>
                <w:sz w:val="24"/>
                <w:szCs w:val="24"/>
              </w:rPr>
              <w:t>a pirmā, otrā  stāva gaiteņos,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skolas internāta telpā un 303.kabinetā materiāli un priekšmeti, kas izdala siltumu novietoti tuvāk par 1m no ugunsgrēka detektoriem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142.3. apakšpunkta prasība;</w:t>
            </w:r>
          </w:p>
          <w:p w:rsidR="00C11DC9" w:rsidP="00E6205D" w14:paraId="571297BD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6.11.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Objektā organizētās praktiskās nodarbības nav reģistrētas Ugunsdrošības instruktāžas uzskaites žurnālā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193.punkta prasība;</w:t>
            </w:r>
          </w:p>
          <w:p w:rsidR="00C11DC9" w:rsidP="00E6205D" w14:paraId="7F540E50" w14:textId="34586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6.12. </w:t>
            </w:r>
            <w:r w:rsidR="00E145CC">
              <w:rPr>
                <w:rFonts w:ascii="Times New Roman" w:hAnsi="Times New Roman"/>
                <w:sz w:val="24"/>
                <w:szCs w:val="24"/>
              </w:rPr>
              <w:t>Objektā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izvietotās  evakuācijas izejas zīmes ir bojātas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198.punkta prasība;</w:t>
            </w:r>
          </w:p>
          <w:p w:rsidR="00C11DC9" w:rsidP="00E6205D" w14:paraId="56B61F67" w14:textId="2C75BB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6.13. </w:t>
            </w:r>
            <w:r w:rsidR="00E145CC">
              <w:rPr>
                <w:rFonts w:ascii="Times New Roman" w:hAnsi="Times New Roman"/>
                <w:sz w:val="24"/>
                <w:szCs w:val="24"/>
              </w:rPr>
              <w:t>Objektā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izvietotās evakuācijas zīmes maldina lietotājus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199.punkta prasība;</w:t>
            </w:r>
          </w:p>
          <w:p w:rsidR="00C11DC9" w:rsidP="00E6205D" w14:paraId="23DF9480" w14:textId="45C9E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6.14. Objektā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internāta gaitenī izvietota</w:t>
            </w:r>
            <w:r>
              <w:rPr>
                <w:rFonts w:ascii="Times New Roman" w:hAnsi="Times New Roman"/>
                <w:sz w:val="24"/>
                <w:szCs w:val="24"/>
              </w:rPr>
              <w:t>jai izgaismotajai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evakuācijas zīmei nedarbojas indikācija, kas norāda, ka tā ir ieslēgta vai bojāta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204.punkta prasība;</w:t>
            </w:r>
          </w:p>
          <w:p w:rsidR="00C11DC9" w:rsidP="00E6205D" w14:paraId="5350C36C" w14:textId="78856D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6.15. </w:t>
            </w:r>
            <w:r w:rsidR="00E145CC">
              <w:rPr>
                <w:rFonts w:ascii="Times New Roman" w:hAnsi="Times New Roman"/>
                <w:sz w:val="24"/>
                <w:szCs w:val="24"/>
              </w:rPr>
              <w:t>Objektā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sporta zālē evakuācijai paredzētās durvis ir slēgtas un nav viegli atveramas no telpas iekšpuses bez aizkavēju</w:t>
            </w:r>
            <w:r>
              <w:rPr>
                <w:rFonts w:ascii="Times New Roman" w:hAnsi="Times New Roman"/>
                <w:sz w:val="24"/>
                <w:szCs w:val="24"/>
              </w:rPr>
              <w:t>ma (ne ilgāk par trim sekundēm),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243.punkta prasība;</w:t>
            </w:r>
          </w:p>
          <w:p w:rsidR="00C11DC9" w:rsidP="00E6205D" w14:paraId="5C65E6AA" w14:textId="793022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6.16. </w:t>
            </w:r>
            <w:r w:rsidR="00E145CC">
              <w:rPr>
                <w:rFonts w:ascii="Times New Roman" w:hAnsi="Times New Roman"/>
                <w:sz w:val="24"/>
                <w:szCs w:val="24"/>
              </w:rPr>
              <w:t>Objektā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evakuācijas ceļi nav apzīmēti ar Ugunsdrošības noteikumu 1.pielikuma evakuācijas ceļu zīmi 5.3.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“Virziens uz evakuācijas izeju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244.punkta prasība;</w:t>
            </w:r>
          </w:p>
          <w:p w:rsidR="00C11DC9" w:rsidP="00E6205D" w14:paraId="4C4EFF31" w14:textId="123D6C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6.17. </w:t>
            </w:r>
            <w:r w:rsidR="00E145CC">
              <w:rPr>
                <w:rFonts w:ascii="Times New Roman" w:hAnsi="Times New Roman"/>
                <w:sz w:val="24"/>
                <w:szCs w:val="24"/>
              </w:rPr>
              <w:t>Objektā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kāpņu telpā zem kāpņu laukuma un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laidiem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ir novietoti priekšmeti un materiāli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246.8.apakšpunkta prasība;</w:t>
            </w:r>
          </w:p>
          <w:p w:rsidR="00C11DC9" w:rsidP="00E6205D" w14:paraId="0DA0E92C" w14:textId="2C970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6.18. </w:t>
            </w:r>
            <w:r w:rsidR="00E145CC">
              <w:rPr>
                <w:rFonts w:ascii="Times New Roman" w:hAnsi="Times New Roman"/>
                <w:sz w:val="24"/>
                <w:szCs w:val="24"/>
              </w:rPr>
              <w:t>Objekta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virtuves telpā, ugunsdzēsības aparāta atrašanās vieta nav apzīmēta ar Ugunsdrošības </w:t>
            </w:r>
            <w:r>
              <w:rPr>
                <w:rFonts w:ascii="Times New Roman" w:hAnsi="Times New Roman"/>
                <w:sz w:val="24"/>
                <w:szCs w:val="24"/>
              </w:rPr>
              <w:t>noteikumu 1.pielikuma 4.3. zīmi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“Ugunsdzēsības aparāts”</w:t>
            </w:r>
            <w:r>
              <w:rPr>
                <w:rFonts w:ascii="Times New Roman" w:hAnsi="Times New Roman"/>
                <w:sz w:val="24"/>
                <w:szCs w:val="24"/>
              </w:rPr>
              <w:t>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265.punkta prasība;</w:t>
            </w:r>
          </w:p>
          <w:p w:rsidR="00C11DC9" w:rsidRPr="00011AF4" w:rsidP="00E6205D" w14:paraId="711E05D0" w14:textId="77777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6.19. 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>Objekta sporta zālē esošajam ugunsdzēsības aparātam ir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neatbilstošs spiediena rādījums</w:t>
            </w:r>
            <w:r w:rsidRPr="00011AF4">
              <w:rPr>
                <w:rFonts w:ascii="Times New Roman" w:hAnsi="Times New Roman"/>
                <w:sz w:val="24"/>
                <w:szCs w:val="24"/>
              </w:rPr>
              <w:t xml:space="preserve"> spiediena indikācijas ierīc</w:t>
            </w:r>
            <w:r>
              <w:rPr>
                <w:rFonts w:ascii="Times New Roman" w:hAnsi="Times New Roman"/>
                <w:sz w:val="24"/>
                <w:szCs w:val="24"/>
              </w:rPr>
              <w:t>ē (spiediens ir sarkanajā zonā), kā rezultātā nav ievērota Ugunsdrošības noteikumu</w:t>
            </w:r>
            <w:r w:rsidRPr="00440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271.3.apakšpunkta prasība.</w:t>
            </w:r>
          </w:p>
        </w:tc>
      </w:tr>
      <w:tr w14:paraId="2E9B4717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1DC9" w:rsidRPr="00070E23" w:rsidP="00E6205D" w14:paraId="3B4B5A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1DC9" w:rsidRPr="00070E23" w:rsidP="00E6205D" w14:paraId="54D947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731713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1DC9" w:rsidRPr="00E227D8" w:rsidP="00E6205D" w14:paraId="160306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DC9" w:rsidRPr="00E227D8" w:rsidP="00E6205D" w14:paraId="0D2827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neatbilst ugunsdrošības prasībām.</w:t>
            </w:r>
          </w:p>
        </w:tc>
      </w:tr>
      <w:tr w14:paraId="09C1E9C9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1DC9" w:rsidRPr="00070E23" w:rsidP="00E6205D" w14:paraId="524923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1DC9" w:rsidRPr="00070E23" w:rsidP="00E6205D" w14:paraId="5AD71E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77F539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1DC9" w:rsidRPr="00E227D8" w:rsidP="00E6205D" w14:paraId="6F328A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DC9" w:rsidRPr="00E227D8" w:rsidP="00E6205D" w14:paraId="00F094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3CA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 „Bērnu nometņu organizēšanas un darbības kārtība” 8.5.apakšpunkta prasībām.</w:t>
            </w:r>
          </w:p>
        </w:tc>
      </w:tr>
      <w:tr w14:paraId="5770FF72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11DC9" w:rsidRPr="00070E23" w:rsidP="00E6205D" w14:paraId="1D074B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1DC9" w:rsidRPr="00070E23" w:rsidP="00E6205D" w14:paraId="3BF595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E3A10E6" w14:textId="77777777" w:rsidTr="00E6205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1DC9" w:rsidRPr="00E227D8" w:rsidP="00E6205D" w14:paraId="25049F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DC9" w:rsidRPr="00E227D8" w:rsidP="00E6205D" w14:paraId="3D79A1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53CA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849CAEE" w14:textId="77777777" w:rsidTr="00E6205D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11DC9" w:rsidRPr="00070E23" w:rsidP="00E6205D" w14:paraId="14A733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1DC9" w:rsidRPr="00070E23" w:rsidP="00E6205D" w14:paraId="6D81D15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11DC9" w:rsidP="00C11DC9" w14:paraId="31FAE6E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C11DC9" w:rsidRPr="007D2C05" w:rsidP="00C11DC9" w14:paraId="0178E89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C11DC9" w:rsidP="00C11DC9" w14:paraId="1680877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5C2616" w:rsidRPr="007D2C05" w:rsidP="00C11DC9" w14:paraId="59C726D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FA1504" w14:textId="77777777" w:rsidTr="00E6205D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C11DC9" w:rsidRPr="00B245E2" w:rsidP="00E6205D" w14:paraId="5BD964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530527" w14:textId="77777777" w:rsidTr="00E6205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C11DC9" w:rsidRPr="00B245E2" w:rsidP="00E6205D" w14:paraId="3E0509B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C11DC9" w:rsidP="00C11DC9" w14:paraId="25F9882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6E29E3E" w14:textId="77777777" w:rsidTr="00E6205D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11DC9" w:rsidP="00C11DC9" w14:paraId="74B50864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pārvaldes Ugunsdrošības uzraudzības </w:t>
            </w:r>
          </w:p>
          <w:p w:rsidR="00C11DC9" w:rsidP="00C11DC9" w14:paraId="465EA9D8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1DC9" w:rsidRPr="00C11DC9" w:rsidP="00C11DC9" w14:paraId="70EA0C79" w14:textId="38A6AE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vecākā</w:t>
            </w:r>
            <w:r w:rsidRPr="008E500C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C11DC9" w:rsidRPr="007D2C05" w:rsidP="00E6205D" w14:paraId="5DED6D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11DC9" w:rsidRPr="007D2C05" w:rsidP="00E6205D" w14:paraId="789DF8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C11DC9" w:rsidRPr="007D2C05" w:rsidP="00E6205D" w14:paraId="5F5DDD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11DC9" w:rsidRPr="007D2C05" w:rsidP="00E6205D" w14:paraId="2F089255" w14:textId="1717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D.Legzdiņa</w:t>
            </w:r>
          </w:p>
        </w:tc>
      </w:tr>
      <w:tr w14:paraId="36629CB1" w14:textId="77777777" w:rsidTr="00E6205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11DC9" w:rsidRPr="00B245E2" w:rsidP="00E6205D" w14:paraId="6EDDA8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11DC9" w:rsidRPr="00B245E2" w:rsidP="00E6205D" w14:paraId="48A0EF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1DC9" w:rsidRPr="00B245E2" w:rsidP="00E6205D" w14:paraId="60FEA8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11DC9" w:rsidRPr="00B245E2" w:rsidP="00E6205D" w14:paraId="249113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11DC9" w:rsidRPr="00B245E2" w:rsidP="00E6205D" w14:paraId="6CA5F9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C11DC9" w:rsidP="00C11DC9" w14:paraId="0021F477" w14:textId="77777777">
      <w:pPr>
        <w:rPr>
          <w:rFonts w:ascii="Times New Roman" w:hAnsi="Times New Roman" w:cs="Times New Roman"/>
          <w:sz w:val="24"/>
          <w:szCs w:val="24"/>
        </w:rPr>
      </w:pPr>
    </w:p>
    <w:p w:rsidR="00C11DC9" w:rsidP="00C11DC9" w14:paraId="31AC3B9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D876E8" w14:textId="77777777" w:rsidTr="00E6205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C11DC9" w:rsidP="00E6205D" w14:paraId="3777F3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C11DC9" w:rsidP="00E6205D" w14:paraId="0FCCA6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C11DC9" w:rsidP="00E6205D" w14:paraId="3920C2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BF59AF" w14:textId="77777777" w:rsidTr="00E6205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C11DC9" w:rsidRPr="007D2C05" w:rsidP="00E6205D" w14:paraId="63566D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C11DC9" w:rsidRPr="007D2C05" w:rsidP="00E6205D" w14:paraId="05C25B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C11DC9" w:rsidRPr="007D2C05" w:rsidP="00E6205D" w14:paraId="0C3D4C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C11DC9" w:rsidP="00C11DC9" w14:paraId="15E044E6" w14:textId="77777777">
      <w:pPr>
        <w:rPr>
          <w:rFonts w:ascii="Times New Roman" w:hAnsi="Times New Roman" w:cs="Times New Roman"/>
          <w:sz w:val="24"/>
          <w:szCs w:val="24"/>
        </w:rPr>
      </w:pPr>
    </w:p>
    <w:p w:rsidR="00C11DC9" w:rsidP="00C11DC9" w14:paraId="57BFF97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C11DC9" w:rsidP="00C11DC9" w14:paraId="7AD2B9EC" w14:textId="77777777">
      <w:pPr>
        <w:rPr>
          <w:rFonts w:ascii="Times New Roman" w:hAnsi="Times New Roman" w:cs="Times New Roman"/>
          <w:sz w:val="24"/>
          <w:szCs w:val="24"/>
        </w:rPr>
      </w:pPr>
    </w:p>
    <w:p w:rsidR="00C11DC9" w:rsidRPr="00762AE8" w:rsidP="00437A2D" w14:paraId="01339590" w14:textId="77777777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A6A3B3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A6A3B3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A6A3B3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6A3B3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6A3B3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6A3B3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6A3B3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68970089"/>
      <w:docPartObj>
        <w:docPartGallery w:val="Page Numbers (Top of Page)"/>
        <w:docPartUnique/>
      </w:docPartObj>
    </w:sdtPr>
    <w:sdtContent>
      <w:p w:rsidR="00E227D8" w:rsidRPr="00762AE8" w14:paraId="1A6A3B3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C2616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A6A3B3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6A3B3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1AF4"/>
    <w:rsid w:val="00070E23"/>
    <w:rsid w:val="0015650A"/>
    <w:rsid w:val="00204E40"/>
    <w:rsid w:val="00281811"/>
    <w:rsid w:val="002A02AD"/>
    <w:rsid w:val="003437F5"/>
    <w:rsid w:val="00346269"/>
    <w:rsid w:val="00381E50"/>
    <w:rsid w:val="00392BD1"/>
    <w:rsid w:val="003B17EF"/>
    <w:rsid w:val="003B78D3"/>
    <w:rsid w:val="003E7B32"/>
    <w:rsid w:val="003F22B3"/>
    <w:rsid w:val="003F7326"/>
    <w:rsid w:val="00410716"/>
    <w:rsid w:val="00426EBD"/>
    <w:rsid w:val="00437A2D"/>
    <w:rsid w:val="00440954"/>
    <w:rsid w:val="00441E69"/>
    <w:rsid w:val="00471268"/>
    <w:rsid w:val="004823CB"/>
    <w:rsid w:val="00483BBB"/>
    <w:rsid w:val="004901B0"/>
    <w:rsid w:val="004B03FF"/>
    <w:rsid w:val="004B095D"/>
    <w:rsid w:val="004E6B03"/>
    <w:rsid w:val="005153CA"/>
    <w:rsid w:val="00574CA4"/>
    <w:rsid w:val="00593C13"/>
    <w:rsid w:val="005C1753"/>
    <w:rsid w:val="005C2616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223BE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11DC9"/>
    <w:rsid w:val="00C33E3A"/>
    <w:rsid w:val="00C51BBF"/>
    <w:rsid w:val="00C522E2"/>
    <w:rsid w:val="00C946FD"/>
    <w:rsid w:val="00C959F6"/>
    <w:rsid w:val="00CF01A3"/>
    <w:rsid w:val="00D639C2"/>
    <w:rsid w:val="00DB3B2E"/>
    <w:rsid w:val="00DD6EF6"/>
    <w:rsid w:val="00E0387C"/>
    <w:rsid w:val="00E145CC"/>
    <w:rsid w:val="00E227D8"/>
    <w:rsid w:val="00E60393"/>
    <w:rsid w:val="00E6205D"/>
    <w:rsid w:val="00F3463E"/>
    <w:rsid w:val="00F408A7"/>
    <w:rsid w:val="00F40F5D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6A3AB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4342</Words>
  <Characters>2476</Characters>
  <Application>Microsoft Office Word</Application>
  <DocSecurity>0</DocSecurity>
  <Lines>20</Lines>
  <Paragraphs>13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12</cp:revision>
  <dcterms:created xsi:type="dcterms:W3CDTF">2022-12-16T07:36:00Z</dcterms:created>
  <dcterms:modified xsi:type="dcterms:W3CDTF">2025-05-28T06:07:00Z</dcterms:modified>
</cp:coreProperties>
</file>