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4FDF7D0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Jēkabpils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2B20EF64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28.05.2025</w:t>
            </w:r>
          </w:p>
        </w:tc>
      </w:tr>
    </w:tbl>
    <w:p w:rsidR="00BC67F6" w:rsidRPr="008A3DA7" w:rsidP="00BC67F6" w14:paraId="71D2E08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A2DC95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488FFDB" w14:textId="0424D5E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530ADA8" w14:textId="1BB7F7B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0518C070" w14:textId="223C86B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F88BF77" w14:textId="40ED309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92428" w:rsidRPr="00520190" w:rsidP="00520190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16485BC2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223BBA4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FB22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B61A047" w14:textId="4939E38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E648B2A" w14:textId="459E40F0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79F16FD2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865FE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2BE32903" w14:textId="49AF2C4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Evija Krūmiņa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4A91DFF" w14:textId="22D3D4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6F0AB89" w14:textId="093DE39A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27.05.2025.</w:t>
                  </w:r>
                </w:p>
              </w:tc>
            </w:tr>
            <w:tr w14:paraId="4F88AAC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3E5BCF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632D0BFF" w14:textId="7138455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23230F8" w14:textId="16CC1E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A8D732E" w14:textId="7BA6FF8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6231090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90CE3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E85153E" w14:textId="2F3209D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28CB422" w14:textId="13D3B0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0AE73035" w14:textId="5630B39D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BFAC65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963EE1" w:rsidRPr="00965BEE" w:rsidP="00963EE1" w14:paraId="70F4DB9E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CB1EB9" w:rsidRPr="008A3DA7" w:rsidP="00FB62DE" w14:paraId="43CEB4CC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27D18835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B6047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8E45F8" w:rsidP="00271B5F" w14:paraId="07AFC923" w14:textId="1BBA858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Atpūtas komplekss </w:t>
                  </w:r>
                  <w:r w:rsidRPr="00C11783" w:rsidR="00C11783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812E1A" w:rsidR="00812E1A">
                    <w:rPr>
                      <w:bCs/>
                      <w:sz w:val="24"/>
                      <w:lang w:val="lv-LV"/>
                    </w:rPr>
                    <w:t>„</w:t>
                  </w:r>
                  <w:r w:rsidR="00C11783">
                    <w:rPr>
                      <w:bCs/>
                      <w:sz w:val="24"/>
                      <w:lang w:val="lv-LV"/>
                    </w:rPr>
                    <w:t>Vecupmaļi</w:t>
                  </w:r>
                  <w:r w:rsidRPr="00812E1A" w:rsidR="00812E1A">
                    <w:rPr>
                      <w:bCs/>
                      <w:sz w:val="24"/>
                      <w:lang w:val="lv-LV"/>
                    </w:rPr>
                    <w:t xml:space="preserve">” 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963EE1" w14:paraId="306761F2" w14:textId="3289C2B9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2025.g.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BF84352" w14:textId="1656E9D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100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6D1BA4CC" w14:textId="0F68932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7 līdz 15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B26D909" w14:textId="18AF76B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9</w:t>
                  </w:r>
                  <w:r w:rsidR="002A15E8">
                    <w:rPr>
                      <w:bCs/>
                      <w:sz w:val="24"/>
                      <w:lang w:val="lv-LV"/>
                    </w:rPr>
                    <w:t xml:space="preserve"> vasaras koka mājiņas, viesu nams</w:t>
                  </w:r>
                  <w:r w:rsidR="00D91E91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4F5BFE">
                    <w:rPr>
                      <w:bCs/>
                      <w:sz w:val="24"/>
                      <w:lang w:val="lv-LV"/>
                    </w:rPr>
                    <w:t>ar zāli ēkas pirmajā stāvā (ēdienreižu ieturēšanai, nodarbībām)</w:t>
                  </w:r>
                  <w:r w:rsidR="002A15E8">
                    <w:rPr>
                      <w:bCs/>
                      <w:sz w:val="24"/>
                      <w:lang w:val="lv-LV"/>
                    </w:rPr>
                    <w:t xml:space="preserve"> pirts māja</w:t>
                  </w:r>
                  <w:r>
                    <w:rPr>
                      <w:bCs/>
                      <w:sz w:val="24"/>
                      <w:lang w:val="lv-LV"/>
                    </w:rPr>
                    <w:t>, skatuve, sporta zāle</w:t>
                  </w:r>
                  <w:r w:rsidR="004F5BFE">
                    <w:rPr>
                      <w:bCs/>
                      <w:sz w:val="24"/>
                      <w:lang w:val="lv-LV"/>
                    </w:rPr>
                    <w:t>, vasaras nojume ar galdiem un krēsliem nodarbībām, sporta zāle.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C69C7DF" w14:textId="3EF2E85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7</w:t>
                  </w:r>
                  <w:r w:rsidRPr="002A15E8" w:rsidR="002A15E8">
                    <w:rPr>
                      <w:bCs/>
                      <w:sz w:val="24"/>
                      <w:lang w:val="lv-LV"/>
                    </w:rPr>
                    <w:t xml:space="preserve"> vasaras koka mājiņas</w:t>
                  </w:r>
                  <w:r w:rsidR="00ED45C7">
                    <w:rPr>
                      <w:bCs/>
                      <w:sz w:val="24"/>
                      <w:lang w:val="lv-LV"/>
                    </w:rPr>
                    <w:t xml:space="preserve"> (katrā divas guļamtelpas</w:t>
                  </w:r>
                  <w:r>
                    <w:rPr>
                      <w:bCs/>
                      <w:sz w:val="24"/>
                      <w:lang w:val="lv-LV"/>
                    </w:rPr>
                    <w:t xml:space="preserve"> ar 8 gultasvietām</w:t>
                  </w:r>
                  <w:r w:rsidR="00ED45C7">
                    <w:rPr>
                      <w:bCs/>
                      <w:sz w:val="24"/>
                      <w:lang w:val="lv-LV"/>
                    </w:rPr>
                    <w:t>)</w:t>
                  </w:r>
                  <w:r w:rsidRPr="002A15E8" w:rsidR="002A15E8">
                    <w:rPr>
                      <w:bCs/>
                      <w:sz w:val="24"/>
                      <w:lang w:val="lv-LV"/>
                    </w:rPr>
                    <w:t>,</w:t>
                  </w:r>
                  <w:r w:rsidR="00CC7BBB">
                    <w:rPr>
                      <w:bCs/>
                      <w:sz w:val="24"/>
                      <w:lang w:val="lv-LV"/>
                    </w:rPr>
                    <w:t xml:space="preserve"> </w:t>
                  </w:r>
                  <w:r>
                    <w:rPr>
                      <w:bCs/>
                      <w:sz w:val="24"/>
                      <w:lang w:val="lv-LV"/>
                    </w:rPr>
                    <w:t>2 koka mājas (katrā 4 guļamtelpas, kopā 24 gultasvietas),</w:t>
                  </w:r>
                  <w:r w:rsidR="002A15E8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2A15E8" w:rsidR="002A15E8">
                    <w:rPr>
                      <w:bCs/>
                      <w:sz w:val="24"/>
                      <w:lang w:val="lv-LV"/>
                    </w:rPr>
                    <w:t>viesu nam</w:t>
                  </w:r>
                  <w:r w:rsidR="002A15E8">
                    <w:rPr>
                      <w:bCs/>
                      <w:sz w:val="24"/>
                      <w:lang w:val="lv-LV"/>
                    </w:rPr>
                    <w:t>a otrajā stāvā 4 istabas</w:t>
                  </w:r>
                  <w:r>
                    <w:rPr>
                      <w:bCs/>
                      <w:sz w:val="24"/>
                      <w:lang w:val="lv-LV"/>
                    </w:rPr>
                    <w:t>, katrā divas gultasvietas, pirts mājas otrajā stāvā viena telpa ar 12 gultas vietām uz matračiem.</w:t>
                  </w:r>
                </w:p>
              </w:tc>
            </w:tr>
          </w:tbl>
          <w:p w:rsidR="00217EFF" w:rsidRPr="00B55A68" w:rsidP="00B55A68" w14:paraId="2A810CFF" w14:textId="4ACD20F5">
            <w:pPr>
              <w:jc w:val="both"/>
              <w:rPr>
                <w:sz w:val="24"/>
                <w:lang w:val="lv-LV"/>
              </w:rPr>
            </w:pPr>
            <w:r w:rsidRPr="00B35C04">
              <w:rPr>
                <w:sz w:val="24"/>
                <w:lang w:val="lv-LV"/>
              </w:rPr>
              <w:t>Komentārs:</w:t>
            </w:r>
            <w:r w:rsidRPr="00B35C04" w:rsidR="008E45F8">
              <w:rPr>
                <w:sz w:val="24"/>
                <w:lang w:val="lv-LV"/>
              </w:rPr>
              <w:t xml:space="preserve"> </w:t>
            </w:r>
            <w:r w:rsidRPr="00B35C04" w:rsidR="0037647B">
              <w:rPr>
                <w:sz w:val="24"/>
                <w:lang w:val="lv-LV"/>
              </w:rPr>
              <w:t xml:space="preserve">Telpu apsekojumā piedalījās </w:t>
            </w:r>
            <w:r w:rsidRPr="00B35C04" w:rsidR="0037647B">
              <w:rPr>
                <w:sz w:val="24"/>
                <w:lang w:val="lv-LV"/>
              </w:rPr>
              <w:t>atpūtas kompleksa</w:t>
            </w:r>
            <w:r w:rsidRPr="00B35C04" w:rsidR="0037647B">
              <w:rPr>
                <w:sz w:val="24"/>
                <w:lang w:val="lv-LV"/>
              </w:rPr>
              <w:t xml:space="preserve"> pārstāve M</w:t>
            </w:r>
            <w:r w:rsidRPr="00B35C04" w:rsidR="0037647B">
              <w:rPr>
                <w:sz w:val="24"/>
                <w:lang w:val="lv-LV"/>
              </w:rPr>
              <w:t>arina Kromāne.</w:t>
            </w:r>
            <w:r w:rsidRPr="00B35C04" w:rsidR="0037647B">
              <w:rPr>
                <w:sz w:val="24"/>
                <w:lang w:val="lv-LV"/>
              </w:rPr>
              <w:t xml:space="preserve"> Viesu nama teritorija labiekārtota, sakopta. Teritorijā izvietotas </w:t>
            </w:r>
            <w:r w:rsidRPr="00B35C04" w:rsidR="00B35C04">
              <w:rPr>
                <w:sz w:val="24"/>
                <w:lang w:val="lv-LV"/>
              </w:rPr>
              <w:t>9</w:t>
            </w:r>
            <w:r w:rsidRPr="00B35C04" w:rsidR="0037647B">
              <w:rPr>
                <w:sz w:val="24"/>
                <w:lang w:val="lv-LV"/>
              </w:rPr>
              <w:t xml:space="preserve"> vasaras tipa mājiņas, </w:t>
            </w:r>
            <w:r w:rsidRPr="00B35C04" w:rsidR="00B35C04">
              <w:rPr>
                <w:sz w:val="24"/>
                <w:lang w:val="lv-LV"/>
              </w:rPr>
              <w:t>divas</w:t>
            </w:r>
            <w:r w:rsidRPr="00B35C04" w:rsidR="0037647B">
              <w:rPr>
                <w:sz w:val="24"/>
                <w:lang w:val="lv-LV"/>
              </w:rPr>
              <w:t xml:space="preserve"> divu stāvu koka māja</w:t>
            </w:r>
            <w:r w:rsidRPr="00B35C04" w:rsidR="00B35C04">
              <w:rPr>
                <w:sz w:val="24"/>
                <w:lang w:val="lv-LV"/>
              </w:rPr>
              <w:t>s</w:t>
            </w:r>
            <w:r w:rsidRPr="00B35C04" w:rsidR="0037647B">
              <w:rPr>
                <w:sz w:val="24"/>
                <w:lang w:val="lv-LV"/>
              </w:rPr>
              <w:t xml:space="preserve">, </w:t>
            </w:r>
            <w:r w:rsidRPr="00B35C04" w:rsidR="00B35C04">
              <w:rPr>
                <w:sz w:val="24"/>
                <w:lang w:val="lv-LV"/>
              </w:rPr>
              <w:t xml:space="preserve">7 vienstāva koka mājas, </w:t>
            </w:r>
            <w:r w:rsidRPr="00B35C04" w:rsidR="0037647B">
              <w:rPr>
                <w:sz w:val="24"/>
                <w:lang w:val="lv-LV"/>
              </w:rPr>
              <w:t>pirts māja</w:t>
            </w:r>
            <w:r w:rsidRPr="00B35C04" w:rsidR="00B35C04">
              <w:rPr>
                <w:sz w:val="24"/>
                <w:lang w:val="lv-LV"/>
              </w:rPr>
              <w:t>, viesu nama ēka</w:t>
            </w:r>
            <w:r w:rsidR="0034016D">
              <w:rPr>
                <w:sz w:val="24"/>
                <w:lang w:val="lv-LV"/>
              </w:rPr>
              <w:t>, sporta zāle.</w:t>
            </w:r>
            <w:r w:rsidRPr="00B35C04" w:rsidR="00B35C04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280F9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298DDDC1" w14:textId="0BE259B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11</w:t>
                  </w:r>
                </w:p>
              </w:tc>
            </w:tr>
            <w:tr w14:paraId="7D0A4B8F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57B7A29" w14:textId="3968EFD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</w:t>
                  </w:r>
                  <w:r w:rsidR="00B55A68">
                    <w:rPr>
                      <w:bCs/>
                      <w:sz w:val="24"/>
                      <w:lang w:val="lv-LV"/>
                    </w:rPr>
                    <w:t>3</w:t>
                  </w:r>
                </w:p>
              </w:tc>
            </w:tr>
            <w:tr w14:paraId="4DD8F12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4FD2321A" w14:textId="57F6C8B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11</w:t>
                  </w:r>
                </w:p>
              </w:tc>
            </w:tr>
            <w:tr w14:paraId="5F22B75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4EB70AB6" w14:textId="37E55AFE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FCF09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050CFAC4" w14:textId="651A3580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E95733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7C6541B" w14:textId="024A1F1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A1D59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2C33005E" w14:textId="0BFC888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89D196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246D4C2B" w14:textId="4067C50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100FE55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4CDEEF29" w14:textId="02ADCF9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BD5AE6" w:rsidRPr="00B55A68" w:rsidP="0037183B" w14:paraId="471493DE" w14:textId="76BF9692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</w:t>
            </w:r>
            <w:r w:rsidRPr="00DB5E9B">
              <w:rPr>
                <w:bCs/>
                <w:sz w:val="24"/>
                <w:lang w:val="lv-LV"/>
              </w:rPr>
              <w:t xml:space="preserve">: </w:t>
            </w:r>
            <w:r w:rsidRPr="00DB5E9B" w:rsidR="00DB5E9B">
              <w:rPr>
                <w:bCs/>
                <w:sz w:val="24"/>
                <w:lang w:val="lv-LV"/>
              </w:rPr>
              <w:t xml:space="preserve">Darbiniekiem nodrošinātas atsevišķas sanitārās telpas viesu mājas pirmajā stāvā. </w:t>
            </w:r>
            <w:r w:rsidRPr="00B35C04" w:rsidR="00B35C04">
              <w:rPr>
                <w:bCs/>
                <w:sz w:val="24"/>
                <w:lang w:val="lv-LV"/>
              </w:rPr>
              <w:t xml:space="preserve">Katrā ēkā </w:t>
            </w:r>
            <w:r w:rsidR="00B55A68">
              <w:rPr>
                <w:bCs/>
                <w:sz w:val="24"/>
                <w:lang w:val="lv-LV"/>
              </w:rPr>
              <w:t xml:space="preserve">ir viena </w:t>
            </w:r>
            <w:r w:rsidRPr="00B35C04" w:rsidR="00B35C04">
              <w:rPr>
                <w:bCs/>
                <w:sz w:val="24"/>
                <w:lang w:val="lv-LV"/>
              </w:rPr>
              <w:t>sanitār</w:t>
            </w:r>
            <w:r w:rsidR="00B55A68">
              <w:rPr>
                <w:bCs/>
                <w:sz w:val="24"/>
                <w:lang w:val="lv-LV"/>
              </w:rPr>
              <w:t>ā</w:t>
            </w:r>
            <w:r w:rsidRPr="00B35C04" w:rsidR="00B35C04">
              <w:rPr>
                <w:bCs/>
                <w:sz w:val="24"/>
                <w:lang w:val="lv-LV"/>
              </w:rPr>
              <w:t xml:space="preserve"> telpa ar vismaz vienu klozetpodu un vienu dušas telpu. Pirts mājā pieejamas trīs dušas iekārtas/telpas</w:t>
            </w:r>
            <w:r w:rsidR="00B55A68">
              <w:rPr>
                <w:bCs/>
                <w:sz w:val="24"/>
                <w:lang w:val="lv-LV"/>
              </w:rPr>
              <w:t xml:space="preserve"> un viens sanmezgls.</w:t>
            </w:r>
            <w:r w:rsidRPr="00B55A68" w:rsidR="00B55A68">
              <w:rPr>
                <w:lang w:val="lv-LV"/>
              </w:rPr>
              <w:t xml:space="preserve"> </w:t>
            </w:r>
            <w:r w:rsidRPr="00B55A68" w:rsidR="00B55A68">
              <w:rPr>
                <w:bCs/>
                <w:sz w:val="24"/>
                <w:lang w:val="lv-LV"/>
              </w:rPr>
              <w:t>Sanitāri tehnisko ierīču skaits pietiekošs un tās ir darba kārtībā.</w:t>
            </w:r>
          </w:p>
          <w:p w:rsidR="00BF5555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0B33C34D" w14:textId="6E89B9F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B942E6A" w14:textId="7B8FF3A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FD811F2" w14:textId="2A314A5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B55A68" w:rsidP="00BF5555" w14:paraId="63128D79" w14:textId="2C07D36E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="00B55A68">
              <w:rPr>
                <w:b/>
                <w:sz w:val="24"/>
                <w:lang w:val="lv-LV"/>
              </w:rPr>
              <w:t xml:space="preserve"> </w:t>
            </w:r>
            <w:r w:rsidRPr="00B55A68" w:rsidR="00B55A68">
              <w:rPr>
                <w:bCs/>
                <w:sz w:val="24"/>
                <w:lang w:val="lv-LV"/>
              </w:rPr>
              <w:t>Telpu apdare apmierinošā stāvoklī</w:t>
            </w:r>
            <w:r w:rsidR="00B55A68">
              <w:rPr>
                <w:bCs/>
                <w:sz w:val="24"/>
                <w:lang w:val="lv-LV"/>
              </w:rPr>
              <w:t>, ar nolietojuma pazīmēm.</w:t>
            </w:r>
          </w:p>
          <w:p w:rsidR="00635F9A" w:rsidP="00BF5555" w14:paraId="59CA36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71A2087" w14:textId="1D57860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C2CA8DD" w14:textId="3A05047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A589AAA" w14:textId="643B464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F53B2AF" w14:textId="3372C5A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A19B47E" w14:textId="614F40F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410E09" w14:textId="6420CD0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E6DEA3E" w14:textId="447AA5E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AF4D31" w:rsidP="00BF5555" w14:paraId="13BA3A96" w14:textId="6F4C288C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B55A68">
              <w:rPr>
                <w:b/>
                <w:sz w:val="24"/>
                <w:lang w:val="lv-LV"/>
              </w:rPr>
              <w:t xml:space="preserve"> </w:t>
            </w:r>
            <w:r w:rsidRPr="00B55A68" w:rsidR="00B55A68">
              <w:rPr>
                <w:bCs/>
                <w:sz w:val="24"/>
                <w:lang w:val="lv-LV"/>
              </w:rPr>
              <w:t>Teritorija apgaismota.</w:t>
            </w:r>
          </w:p>
          <w:p w:rsidR="00635F9A" w:rsidRPr="00474850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62A75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3ED6AE3" w14:textId="2FD1489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5A98664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6FF66548" w14:textId="590BE07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6244F3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54FFD892" w14:textId="02CAA42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B55A68" w:rsidP="00BF5555" w14:paraId="46C36EA4" w14:textId="4B1852EA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  <w:r w:rsidRPr="00B55A68" w:rsidR="00B55A68">
              <w:rPr>
                <w:sz w:val="24"/>
                <w:lang w:val="lv-LV"/>
              </w:rPr>
              <w:t>Elektriskā apkure (elektriskie eļļas radiatori)</w:t>
            </w:r>
            <w:r w:rsidRPr="00B55A68" w:rsidR="00B55A68">
              <w:rPr>
                <w:sz w:val="24"/>
                <w:lang w:val="lv-LV"/>
              </w:rPr>
              <w:t>.</w:t>
            </w:r>
          </w:p>
          <w:p w:rsidR="00BF5555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7F356D2" w14:textId="5C20087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154E4DE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61867DA" w14:textId="5EAAF11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05D459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0B77073C" w14:textId="6332EDB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C4B1D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24DDD86E" w14:textId="06C8FDB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303B4" w:rsidRPr="00B55A68" w:rsidP="00BF5555" w14:paraId="29966CD8" w14:textId="7F31C44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Pr="00332F37" w:rsidR="00332F37">
              <w:rPr>
                <w:bCs/>
                <w:sz w:val="24"/>
                <w:lang w:val="lv-LV"/>
              </w:rPr>
              <w:t>Telpas ir iespējams vēdināt caur atveramiem logiem.</w:t>
            </w:r>
          </w:p>
          <w:p w:rsidR="009E40BD" w:rsidP="00AA7975" w14:paraId="0ADA6B5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4278F06" w14:textId="1AF1D15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20CB342" w14:textId="7AA15E3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0E7DD17" w14:textId="4B323D1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A6D162E" w14:textId="0286A5E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4282C09" w14:textId="5F4C779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7B5DAA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692A225" w14:textId="4CEB49B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17BCD8" w14:textId="2EBB215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74850" w:rsidRPr="0084325F" w:rsidP="0084325F" w14:paraId="3F03B5A9" w14:textId="4884CBF5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  <w:r w:rsidRPr="00812E1A" w:rsidR="00812E1A">
              <w:rPr>
                <w:sz w:val="24"/>
                <w:lang w:val="lv-LV"/>
              </w:rPr>
              <w:t xml:space="preserve">Ūdensapgāde no urbuma.  Dzeramā ūdens kvalitāte novērtēta pēc </w:t>
            </w:r>
            <w:r w:rsidR="002A15E8">
              <w:rPr>
                <w:sz w:val="24"/>
                <w:lang w:val="lv-LV"/>
              </w:rPr>
              <w:t>BIOR</w:t>
            </w:r>
            <w:r w:rsidRPr="00812E1A" w:rsidR="00812E1A">
              <w:rPr>
                <w:sz w:val="24"/>
                <w:lang w:val="lv-LV"/>
              </w:rPr>
              <w:t xml:space="preserve"> laboratorijas dzeramā ūdens testēšanas pārskata Nr.</w:t>
            </w:r>
            <w:r w:rsidRPr="00AE4458" w:rsidR="00AE4458">
              <w:rPr>
                <w:lang w:val="lv-LV"/>
              </w:rPr>
              <w:t xml:space="preserve"> </w:t>
            </w:r>
            <w:r w:rsidRPr="00AE4458" w:rsidR="00AE4458">
              <w:rPr>
                <w:sz w:val="24"/>
                <w:lang w:val="lv-LV"/>
              </w:rPr>
              <w:t>PV-2025-P-29740.01 no 12.05.2025</w:t>
            </w:r>
            <w:r w:rsidRPr="00812E1A" w:rsidR="00812E1A">
              <w:rPr>
                <w:sz w:val="24"/>
                <w:lang w:val="lv-LV"/>
              </w:rPr>
              <w:t>. un tā atbilst Ministru kabineta  14.11.2017.  noteikumu Nr. 671 „Dzeramā ūdens obligātās nekaitīguma kvalitātes prasības, monitoringa un kontroles kārtība” prasībām</w:t>
            </w:r>
            <w:r w:rsidR="00AE4458">
              <w:rPr>
                <w:sz w:val="24"/>
                <w:lang w:val="lv-LV"/>
              </w:rPr>
              <w:t>,</w:t>
            </w:r>
            <w:r w:rsidR="002A15E8">
              <w:rPr>
                <w:sz w:val="24"/>
                <w:lang w:val="lv-LV"/>
              </w:rPr>
              <w:t xml:space="preserve"> </w:t>
            </w:r>
            <w:r w:rsidRPr="00AE4458" w:rsidR="00AE4458">
              <w:rPr>
                <w:sz w:val="24"/>
                <w:lang w:val="lv-LV"/>
              </w:rPr>
              <w:t xml:space="preserve">izņemot </w:t>
            </w:r>
            <w:r w:rsidR="00AE4458">
              <w:rPr>
                <w:sz w:val="24"/>
                <w:lang w:val="lv-LV"/>
              </w:rPr>
              <w:t>paaugstinātu dzelzs rādītāju</w:t>
            </w:r>
            <w:r w:rsidRPr="00AE4458" w:rsidR="00AE4458">
              <w:rPr>
                <w:sz w:val="24"/>
                <w:lang w:val="lv-LV"/>
              </w:rPr>
              <w:t xml:space="preserve"> – </w:t>
            </w:r>
            <w:r w:rsidRPr="00AE4458" w:rsidR="00AE4458">
              <w:rPr>
                <w:sz w:val="24"/>
                <w:lang w:val="lv-LV"/>
              </w:rPr>
              <w:t xml:space="preserve">580±58 </w:t>
            </w:r>
            <w:r w:rsidRPr="00AE4458" w:rsidR="00AE4458">
              <w:rPr>
                <w:sz w:val="24"/>
                <w:lang w:val="lv-LV"/>
              </w:rPr>
              <w:t>µ</w:t>
            </w:r>
            <w:r w:rsidRPr="00AE4458" w:rsidR="00AE4458">
              <w:rPr>
                <w:sz w:val="24"/>
                <w:lang w:val="lv-LV"/>
              </w:rPr>
              <w:t>/L</w:t>
            </w:r>
            <w:r w:rsidRPr="00AE4458" w:rsidR="00AE4458">
              <w:rPr>
                <w:sz w:val="24"/>
                <w:lang w:val="lv-LV"/>
              </w:rPr>
              <w:t xml:space="preserve">. </w:t>
            </w:r>
            <w:r w:rsidR="002A15E8">
              <w:rPr>
                <w:sz w:val="24"/>
                <w:lang w:val="lv-LV"/>
              </w:rPr>
              <w:t>Papildus tiek izmantots fasēts dzeramais ūdens EDEN.</w:t>
            </w:r>
          </w:p>
          <w:p w:rsidR="00AA7975" w:rsidP="00AA7975" w14:paraId="0C5CE2B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A8838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B1632D2" w14:textId="43736E7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D2774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99C52F6" w14:textId="64F23D6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8530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0C78FB72" w14:textId="0F8190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25834A9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16BB2B92" w14:textId="46C6A11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74850" w:rsidRPr="0084325F" w:rsidP="00AA7975" w14:paraId="2F98DBA2" w14:textId="22C4A354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  <w:r w:rsidRPr="0008432A" w:rsidR="003D701D">
              <w:rPr>
                <w:bCs/>
                <w:sz w:val="24"/>
                <w:lang w:val="lv-LV"/>
              </w:rPr>
              <w:t>Lokāla, nosēdaka.</w:t>
            </w:r>
            <w:r w:rsidRPr="0008432A" w:rsidR="0008432A">
              <w:rPr>
                <w:sz w:val="24"/>
                <w:lang w:val="lv-LV"/>
              </w:rPr>
              <w:t xml:space="preserve"> Uzrādīt</w:t>
            </w:r>
            <w:r w:rsidR="0004171D">
              <w:rPr>
                <w:sz w:val="24"/>
                <w:lang w:val="lv-LV"/>
              </w:rPr>
              <w:t>s</w:t>
            </w:r>
            <w:r w:rsidRPr="0008432A" w:rsidR="0008432A">
              <w:rPr>
                <w:sz w:val="24"/>
                <w:lang w:val="lv-LV"/>
              </w:rPr>
              <w:t xml:space="preserve"> </w:t>
            </w:r>
            <w:r w:rsidR="0004171D">
              <w:rPr>
                <w:sz w:val="24"/>
                <w:lang w:val="lv-LV"/>
              </w:rPr>
              <w:t>attaisnojošs dokuments par</w:t>
            </w:r>
            <w:r w:rsidRPr="0008432A" w:rsidR="0008432A">
              <w:rPr>
                <w:sz w:val="24"/>
                <w:lang w:val="lv-LV"/>
              </w:rPr>
              <w:t xml:space="preserve"> </w:t>
            </w:r>
            <w:r w:rsidR="0004171D">
              <w:rPr>
                <w:sz w:val="24"/>
                <w:lang w:val="lv-LV"/>
              </w:rPr>
              <w:t>asinizācijas paklpojumu</w:t>
            </w:r>
            <w:r w:rsidRPr="0008432A" w:rsidR="0008432A">
              <w:rPr>
                <w:sz w:val="24"/>
                <w:lang w:val="lv-LV"/>
              </w:rPr>
              <w:t xml:space="preserve"> </w:t>
            </w:r>
            <w:r w:rsidR="00A80AD2">
              <w:rPr>
                <w:sz w:val="24"/>
                <w:lang w:val="lv-LV"/>
              </w:rPr>
              <w:t>2024. gada 7.oktobrī.</w:t>
            </w:r>
          </w:p>
          <w:p w:rsidR="00AA7975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78097FB5" w14:textId="1135C42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7E2DE8E" w14:textId="7A9279B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6EB400D5" w14:textId="2222B21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0445A0B0" w14:textId="00ED28C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30ACFA1E" w14:textId="027EB34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48C70751" w14:textId="51B12B4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24C7C9DE" w14:textId="14D75CD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AF4D31" w:rsidRPr="00AF4D31" w:rsidP="00AA7975" w14:paraId="569C9B77" w14:textId="13BAC61E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>Komentāri</w:t>
            </w:r>
            <w:r w:rsidR="00E501D4">
              <w:rPr>
                <w:b/>
                <w:bCs/>
                <w:sz w:val="24"/>
                <w:lang w:val="lv-LV"/>
              </w:rPr>
              <w:t xml:space="preserve">: </w:t>
            </w:r>
            <w:r w:rsidRPr="00E501D4" w:rsidR="00E501D4">
              <w:rPr>
                <w:sz w:val="24"/>
                <w:lang w:val="lv-LV"/>
              </w:rPr>
              <w:t xml:space="preserve">Teritorijā atrodas </w:t>
            </w:r>
            <w:r w:rsidR="002A15E8">
              <w:rPr>
                <w:sz w:val="24"/>
                <w:lang w:val="lv-LV"/>
              </w:rPr>
              <w:t>dīķi</w:t>
            </w:r>
            <w:r w:rsidRPr="00E501D4" w:rsidR="00E501D4">
              <w:rPr>
                <w:sz w:val="24"/>
                <w:lang w:val="lv-LV"/>
              </w:rPr>
              <w:t xml:space="preserve">. Atgādinām, ka  Nometnes laikā peldēšana pieļaujama tikai drošās peldvietās un dienas gaismā. </w:t>
            </w:r>
            <w:r w:rsidR="002A15E8">
              <w:rPr>
                <w:sz w:val="24"/>
                <w:lang w:val="lv-LV"/>
              </w:rPr>
              <w:t>V</w:t>
            </w:r>
            <w:r w:rsidRPr="00E501D4" w:rsidR="00E501D4">
              <w:rPr>
                <w:sz w:val="24"/>
                <w:lang w:val="lv-LV"/>
              </w:rPr>
              <w:t>eikta peldvietas ūdens kvalitātes pārbaude</w:t>
            </w:r>
            <w:r w:rsidR="002A15E8">
              <w:rPr>
                <w:sz w:val="24"/>
                <w:lang w:val="lv-LV"/>
              </w:rPr>
              <w:t xml:space="preserve">: </w:t>
            </w:r>
            <w:r w:rsidRPr="002A15E8" w:rsidR="002A15E8">
              <w:rPr>
                <w:sz w:val="24"/>
                <w:lang w:val="lv-LV"/>
              </w:rPr>
              <w:t>BIOR laboratorijas</w:t>
            </w:r>
            <w:r w:rsidR="002A15E8">
              <w:rPr>
                <w:sz w:val="24"/>
                <w:lang w:val="lv-LV"/>
              </w:rPr>
              <w:t xml:space="preserve"> peld</w:t>
            </w:r>
            <w:r w:rsidRPr="002A15E8" w:rsidR="002A15E8">
              <w:rPr>
                <w:sz w:val="24"/>
                <w:lang w:val="lv-LV"/>
              </w:rPr>
              <w:t>ūdens testēšanas pārskat</w:t>
            </w:r>
            <w:r w:rsidR="0084325F">
              <w:rPr>
                <w:sz w:val="24"/>
                <w:lang w:val="lv-LV"/>
              </w:rPr>
              <w:t>i</w:t>
            </w:r>
            <w:r w:rsidRPr="002A15E8" w:rsidR="002A15E8">
              <w:rPr>
                <w:sz w:val="24"/>
                <w:lang w:val="lv-LV"/>
              </w:rPr>
              <w:t xml:space="preserve"> Nr.</w:t>
            </w:r>
            <w:r w:rsidRPr="0084325F" w:rsidR="0084325F">
              <w:rPr>
                <w:lang w:val="lv-LV"/>
              </w:rPr>
              <w:t xml:space="preserve"> </w:t>
            </w:r>
            <w:r w:rsidRPr="0084325F" w:rsidR="0084325F">
              <w:rPr>
                <w:sz w:val="24"/>
                <w:lang w:val="lv-LV"/>
              </w:rPr>
              <w:t>Nr. PV-2025-P-29741.01, PV-2025-P-29742.01 no 09.05.2025.</w:t>
            </w:r>
            <w:r w:rsidRPr="0048168B" w:rsidR="0048168B">
              <w:rPr>
                <w:sz w:val="24"/>
                <w:lang w:val="lv-LV"/>
              </w:rPr>
              <w:t>Peldūdens kvalitāte  atbilst Ministru kabineta 28.11.2017. noteikumu Nr. 692 “Peldvietas izveidošanas, uzturēšanas un ūdens kvalitātes pārvaldības kārtība” prasībām.</w:t>
            </w:r>
            <w:r w:rsidRPr="0048168B" w:rsidR="0048168B">
              <w:rPr>
                <w:lang w:val="lv-LV"/>
              </w:rPr>
              <w:t xml:space="preserve"> </w:t>
            </w:r>
            <w:r w:rsidRPr="00F917CB" w:rsidR="00F917CB">
              <w:rPr>
                <w:sz w:val="24"/>
                <w:lang w:val="lv-LV"/>
              </w:rPr>
              <w:t xml:space="preserve">Teritorijā atrodas volejbola laukums, </w:t>
            </w:r>
            <w:r w:rsidR="002A15E8">
              <w:rPr>
                <w:sz w:val="24"/>
                <w:lang w:val="lv-LV"/>
              </w:rPr>
              <w:t>šūpoles, lapene</w:t>
            </w:r>
            <w:r w:rsidRPr="00F917CB" w:rsidR="00F917CB">
              <w:rPr>
                <w:sz w:val="24"/>
                <w:lang w:val="lv-LV"/>
              </w:rPr>
              <w:t xml:space="preserve">,  </w:t>
            </w:r>
            <w:r w:rsidR="002A15E8">
              <w:rPr>
                <w:sz w:val="24"/>
                <w:lang w:val="lv-LV"/>
              </w:rPr>
              <w:t>ugunskura</w:t>
            </w:r>
            <w:r w:rsidRPr="00F917CB" w:rsidR="00F917CB">
              <w:rPr>
                <w:sz w:val="24"/>
                <w:lang w:val="lv-LV"/>
              </w:rPr>
              <w:t xml:space="preserve"> vieta</w:t>
            </w:r>
            <w:r w:rsidR="002A15E8">
              <w:rPr>
                <w:sz w:val="24"/>
                <w:lang w:val="lv-LV"/>
              </w:rPr>
              <w:t>, āra nojume, saimniecības ēkas teritorijas uzkopšanas inventāra glabāšanai.</w:t>
            </w:r>
            <w:r w:rsidR="0092488F">
              <w:rPr>
                <w:sz w:val="24"/>
                <w:lang w:val="lv-LV"/>
              </w:rPr>
              <w:t xml:space="preserve"> Atkritumus izved SIA “Ķilupe”.</w:t>
            </w:r>
          </w:p>
          <w:p w:rsidR="00AA7975" w:rsidRPr="009E356B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7B1733" w:rsidP="008F580C" w14:paraId="23C3CD7F" w14:textId="2BD4562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7B1733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CB7A5A3" w14:textId="36C01E8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ārtelpā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3FEF7B22" w14:textId="757E42F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24D0F2F" w14:textId="1438186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94781" w:rsidRPr="0092488F" w:rsidP="00AA7975" w14:paraId="39205AD4" w14:textId="47C81F63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B35E81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2F490986" w14:textId="62B2428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1FFF2463" w14:textId="3837FA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6ED0DC3D" w14:textId="45AD24E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5D9DF0B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7E2D69BC" w14:textId="496D489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F3E601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43BE1A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2FC3DE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3682A17" w14:textId="31F4F77F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E23804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CA91EB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9B9CCEF" w14:textId="0D796486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F7E8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035316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0864CF5" w14:textId="5D50DC7C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1B434ED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9CCEFB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8E417E0" w14:textId="2B25E260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174D2E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2D3D5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13BB6F" w14:textId="4FE0BD8F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B0A8F6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2F220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905854C" w14:textId="1F395565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13D7B45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E00AB5" w:rsidRPr="00AF4D31" w:rsidP="00A05C5D" w14:paraId="7769904B" w14:textId="5932539B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  <w:r w:rsidRPr="00812E1A" w:rsidR="00812E1A">
              <w:rPr>
                <w:sz w:val="24"/>
                <w:lang w:val="lv-LV"/>
              </w:rPr>
              <w:t>Nometnes vajadzībām izmantos viesu mājas gultas un  gultas piederumus (segas, spilvenus, matračus, gultasveļu), kas tiek tīrīti/mazgāti atbilstoši higiēnas prasībām</w:t>
            </w:r>
            <w:r w:rsidR="00DF0E85">
              <w:rPr>
                <w:sz w:val="24"/>
                <w:lang w:val="lv-LV"/>
              </w:rPr>
              <w:t>.</w:t>
            </w:r>
            <w:r w:rsidR="00375A1F">
              <w:rPr>
                <w:sz w:val="24"/>
                <w:lang w:val="lv-LV"/>
              </w:rPr>
              <w:t xml:space="preserve"> Tīrā veļa, matrači un citi gultas piederumi tiek uzglabāti pirts mājas otrajā stāvā, saimniecības noliktavā.</w:t>
            </w:r>
          </w:p>
        </w:tc>
      </w:tr>
      <w:tr w14:paraId="55837B08" w14:textId="77777777" w:rsidTr="007B1733">
        <w:tblPrEx>
          <w:tblW w:w="0" w:type="auto"/>
          <w:tblInd w:w="108" w:type="dxa"/>
          <w:tblLook w:val="04A0"/>
        </w:tblPrEx>
        <w:tc>
          <w:tcPr>
            <w:tcW w:w="9237" w:type="dxa"/>
            <w:shd w:val="clear" w:color="auto" w:fill="FFFFFF" w:themeFill="background1"/>
          </w:tcPr>
          <w:p w:rsidR="00AF4D31" w:rsidP="00D2507B" w14:paraId="2EDAF6F1" w14:textId="3D12A7DB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D52CFE">
              <w:rPr>
                <w:sz w:val="24"/>
                <w:lang w:val="lv-LV"/>
              </w:rPr>
              <w:t>Sanitāro telpu dezinfekcijai tiek izmantots virsmu dezinfekcijas līdzeklis "</w:t>
            </w:r>
            <w:r w:rsidR="00255382">
              <w:rPr>
                <w:sz w:val="24"/>
                <w:lang w:val="lv-LV"/>
              </w:rPr>
              <w:t>Kvadro</w:t>
            </w:r>
            <w:r w:rsidRPr="00D52CFE">
              <w:rPr>
                <w:sz w:val="24"/>
                <w:lang w:val="lv-LV"/>
              </w:rPr>
              <w:t>", "</w:t>
            </w:r>
            <w:r w:rsidR="00255382">
              <w:rPr>
                <w:sz w:val="24"/>
                <w:lang w:val="lv-LV"/>
              </w:rPr>
              <w:t>Biospot</w:t>
            </w:r>
            <w:r w:rsidRPr="00D52CFE">
              <w:rPr>
                <w:sz w:val="24"/>
                <w:lang w:val="lv-LV"/>
              </w:rPr>
              <w:t>". Sanitāro telpu uzkopšanai ir nodrošināts atbilstoši marķēts uzkopšanas inventārs, tualešu, dušu uzkopšanas inventārs tiek uzglabāts atsevišķi no pārējo telpu uzkopšanas inventāra</w:t>
            </w:r>
            <w:r>
              <w:rPr>
                <w:sz w:val="24"/>
                <w:lang w:val="lv-LV"/>
              </w:rPr>
              <w:t>.</w:t>
            </w:r>
          </w:p>
          <w:p w:rsidR="00CB1EB9" w:rsidRPr="000964F0" w:rsidP="00D2507B" w14:paraId="2C630F94" w14:textId="3F2CA5A1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B1EB9" w:rsidP="00537AA2" w14:paraId="6F596EB0" w14:textId="183EEFF7">
            <w:pPr>
              <w:jc w:val="both"/>
              <w:rPr>
                <w:b/>
                <w:bCs/>
                <w:sz w:val="24"/>
                <w:lang w:val="lv-LV"/>
              </w:rPr>
            </w:pPr>
            <w:r w:rsidRPr="00496DC1">
              <w:rPr>
                <w:b/>
                <w:bCs/>
                <w:noProof/>
                <w:sz w:val="24"/>
                <w:lang w:val="lv-LV"/>
              </w:rPr>
              <w:t>Atpūtas kompleksa „</w:t>
            </w:r>
            <w:r w:rsidR="008B05EE">
              <w:rPr>
                <w:b/>
                <w:bCs/>
                <w:noProof/>
                <w:sz w:val="24"/>
                <w:lang w:val="lv-LV"/>
              </w:rPr>
              <w:t>Vecupmaļi</w:t>
            </w:r>
            <w:r w:rsidRPr="00496DC1">
              <w:rPr>
                <w:b/>
                <w:bCs/>
                <w:noProof/>
                <w:sz w:val="24"/>
                <w:lang w:val="lv-LV"/>
              </w:rPr>
              <w:t xml:space="preserve">” </w:t>
            </w:r>
            <w:r>
              <w:rPr>
                <w:b/>
                <w:bCs/>
                <w:noProof/>
                <w:sz w:val="24"/>
                <w:lang w:val="lv-LV"/>
              </w:rPr>
              <w:t>telpas</w:t>
            </w:r>
            <w:r w:rsidRPr="00217EFF" w:rsidR="00072AD7">
              <w:rPr>
                <w:b/>
                <w:bCs/>
                <w:sz w:val="24"/>
                <w:lang w:val="lv-LV"/>
              </w:rPr>
              <w:t xml:space="preserve"> </w:t>
            </w:r>
            <w:r w:rsidRPr="00963EE1" w:rsidR="00072AD7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 w:rsidR="00072AD7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8F580C" w:rsidRPr="007B1733" w:rsidP="00537AA2" w14:paraId="54F8528B" w14:textId="77777777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44BC817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3013C842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EC6CE3" w:rsidRPr="00EC6CE3" w:rsidP="00EC6CE3" w14:paraId="3A019A92" w14:textId="11C7589B">
            <w:pPr>
              <w:tabs>
                <w:tab w:val="left" w:pos="34"/>
                <w:tab w:val="left" w:pos="459"/>
              </w:tabs>
              <w:contextualSpacing/>
              <w:jc w:val="both"/>
              <w:rPr>
                <w:sz w:val="24"/>
              </w:rPr>
            </w:pPr>
            <w:r w:rsidRPr="00EC6CE3">
              <w:rPr>
                <w:sz w:val="24"/>
              </w:rPr>
              <w:t>1</w:t>
            </w:r>
            <w:r>
              <w:t xml:space="preserve"> </w:t>
            </w:r>
            <w:r w:rsidRPr="00EC6CE3">
              <w:rPr>
                <w:sz w:val="24"/>
              </w:rPr>
              <w:t>Nodrošināt Ministru kabineta 2009. gada 1. septembra noteikumu Nr.981 “Bērnu nometņu organizēšanas un darbības kārtība” prasību izpildi.</w:t>
            </w:r>
          </w:p>
          <w:p w:rsidR="00EC6CE3" w:rsidRPr="00EC6CE3" w:rsidP="00EC6CE3" w14:paraId="6A939CD7" w14:textId="77777777">
            <w:pPr>
              <w:tabs>
                <w:tab w:val="left" w:pos="34"/>
                <w:tab w:val="left" w:pos="459"/>
              </w:tabs>
              <w:contextualSpacing/>
              <w:jc w:val="both"/>
              <w:rPr>
                <w:sz w:val="24"/>
              </w:rPr>
            </w:pPr>
            <w:r w:rsidRPr="00EC6CE3">
              <w:rPr>
                <w:sz w:val="24"/>
              </w:rPr>
              <w:t>2. Iepazīties un sekot līdz Slimību profilakses un kontroles centra sniegtajām rekomendācijām par priekšmetu un virsmu tīrīšanu un dezinfekciju, kā arī bērnu un personāla personīgās higiēnas un profilakses pasākumu ievērošanu.</w:t>
            </w:r>
          </w:p>
          <w:p w:rsidR="00107697" w:rsidRPr="00EC6CE3" w:rsidP="00EC6CE3" w14:paraId="2D80E421" w14:textId="589C5503">
            <w:pPr>
              <w:tabs>
                <w:tab w:val="left" w:pos="34"/>
                <w:tab w:val="left" w:pos="459"/>
              </w:tabs>
              <w:contextualSpacing/>
              <w:jc w:val="both"/>
              <w:rPr>
                <w:sz w:val="24"/>
              </w:rPr>
            </w:pPr>
            <w:r w:rsidRPr="00EC6CE3">
              <w:rPr>
                <w:sz w:val="24"/>
              </w:rPr>
              <w:t>3. Nodrošināt Ministru kabineta 2018. gada 24. jūlija noteikumu Nr.447 „Noteikumi par darbiem, kas saistīti ar iespējamu risku citu cilvēku veselībai, un obligāto veselības pārbaužu veikšanas kārtību” prasību ievērošanu.</w:t>
            </w:r>
          </w:p>
        </w:tc>
      </w:tr>
    </w:tbl>
    <w:p w:rsidR="0037183B" w:rsidRPr="00E00AB5" w14:paraId="0EC02E11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680"/>
      </w:tblGrid>
      <w:tr w14:paraId="7EBB189E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AF4D31" w:rsidP="00AF4D31" w14:paraId="1BF9D27D" w14:textId="77777777">
            <w:pPr>
              <w:pStyle w:val="H4"/>
              <w:jc w:val="left"/>
              <w:rPr>
                <w:b w:val="0"/>
                <w:sz w:val="24"/>
              </w:rPr>
            </w:pPr>
            <w:r w:rsidRPr="00123624">
              <w:rPr>
                <w:b w:val="0"/>
                <w:sz w:val="24"/>
              </w:rPr>
              <w:t>Sabiedrības veselības departamenta</w:t>
            </w:r>
          </w:p>
          <w:p w:rsidR="00AF4D31" w:rsidRPr="00123624" w:rsidP="00AF4D31" w14:paraId="522BFA20" w14:textId="77777777">
            <w:pPr>
              <w:pStyle w:val="H4"/>
              <w:jc w:val="left"/>
              <w:rPr>
                <w:b w:val="0"/>
                <w:sz w:val="24"/>
              </w:rPr>
            </w:pPr>
            <w:r w:rsidRPr="00123624">
              <w:rPr>
                <w:b w:val="0"/>
                <w:sz w:val="24"/>
              </w:rPr>
              <w:t>Latgales kontroles nodaļas vides veselības analītiķe                                          Evija</w:t>
            </w:r>
            <w:r w:rsidR="00123624">
              <w:rPr>
                <w:b w:val="0"/>
                <w:sz w:val="24"/>
              </w:rPr>
              <w:t xml:space="preserve">    </w:t>
            </w:r>
            <w:r w:rsidRPr="00123624">
              <w:rPr>
                <w:b w:val="0"/>
                <w:sz w:val="24"/>
              </w:rPr>
              <w:t>Krūmiņa</w:t>
            </w:r>
          </w:p>
          <w:tbl>
            <w:tblPr>
              <w:tblW w:w="9356" w:type="dxa"/>
              <w:tblInd w:w="108" w:type="dxa"/>
              <w:tblLook w:val="04A0"/>
            </w:tblPr>
            <w:tblGrid>
              <w:gridCol w:w="9356"/>
            </w:tblGrid>
            <w:tr w14:paraId="110DA2AE" w14:textId="77777777" w:rsidTr="00450766">
              <w:tblPrEx>
                <w:tblW w:w="9356" w:type="dxa"/>
                <w:tblInd w:w="108" w:type="dxa"/>
                <w:tblLook w:val="04A0"/>
              </w:tblPrEx>
              <w:trPr>
                <w:trHeight w:val="319"/>
              </w:trPr>
              <w:tc>
                <w:tcPr>
                  <w:tcW w:w="9356" w:type="dxa"/>
                </w:tcPr>
                <w:p w:rsidR="00AF4D31" w:rsidRPr="00123624" w:rsidP="00AF4D31" w14:paraId="7C277703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</w:rPr>
                  </w:pPr>
                </w:p>
              </w:tc>
            </w:tr>
          </w:tbl>
          <w:p w:rsidR="00AF4D31" w:rsidRPr="00E424EB" w:rsidP="00AF4D31" w14:paraId="5326B8F6" w14:textId="5F14E1F0">
            <w:pPr>
              <w:pStyle w:val="H4"/>
              <w:jc w:val="left"/>
              <w:rPr>
                <w:b w:val="0"/>
                <w:sz w:val="22"/>
                <w:szCs w:val="22"/>
              </w:rPr>
            </w:pPr>
            <w:r w:rsidRPr="00E424EB">
              <w:rPr>
                <w:b w:val="0"/>
                <w:sz w:val="22"/>
                <w:szCs w:val="22"/>
              </w:rPr>
              <w:t xml:space="preserve">  Evija Krūmiņa, tālrunis 65231104,  evija.krumina@vi.gov.lv</w:t>
            </w:r>
          </w:p>
          <w:p w:rsidR="007F2704" w:rsidRPr="00123624" w:rsidP="00AF4D31" w14:paraId="7DB4089B" w14:textId="50B1DB04">
            <w:pPr>
              <w:pStyle w:val="H4"/>
              <w:jc w:val="left"/>
              <w:rPr>
                <w:b w:val="0"/>
                <w:sz w:val="24"/>
              </w:rPr>
            </w:pPr>
          </w:p>
        </w:tc>
      </w:tr>
    </w:tbl>
    <w:p w:rsidR="00AF4D31" w:rsidRPr="00E424EB" w14:paraId="5A0CB417" w14:textId="77777777">
      <w:pPr>
        <w:pStyle w:val="H4"/>
        <w:jc w:val="left"/>
        <w:rPr>
          <w:b w:val="0"/>
          <w:sz w:val="22"/>
          <w:szCs w:val="22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E98EC8D" w14:textId="77777777">
    <w:pPr>
      <w:pStyle w:val="Footer"/>
      <w:rPr>
        <w:sz w:val="20"/>
        <w:lang w:val="lv-LV"/>
      </w:rPr>
    </w:pPr>
  </w:p>
  <w:p w:rsidR="002E3FF9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2F94F52" w14:textId="77777777">
    <w:pPr>
      <w:pStyle w:val="Footer"/>
      <w:rPr>
        <w:sz w:val="20"/>
        <w:lang w:val="lv-LV"/>
      </w:rPr>
    </w:pPr>
  </w:p>
  <w:p w:rsidR="002E3FF9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19E8E5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0239417B" w14:textId="457C271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28.05.2025</w:t>
          </w:r>
        </w:p>
        <w:p w:rsidR="002E3FF9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1A37743" w14:textId="104B97D9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2.4.7.-14/346</w:t>
          </w:r>
        </w:p>
      </w:tc>
    </w:tr>
  </w:tbl>
  <w:p w:rsidR="002E3FF9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2D23" w:rsidP="00092D23" w14:paraId="43EC4645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>
      <w:rPr>
        <w:color w:val="000000"/>
        <w:sz w:val="20"/>
        <w:szCs w:val="20"/>
        <w:lang w:val="lv-LV"/>
      </w:rPr>
      <w:t xml:space="preserve">Lielā Dārza iela 60/62, </w:t>
    </w:r>
    <w:r>
      <w:rPr>
        <w:sz w:val="20"/>
        <w:szCs w:val="20"/>
      </w:rPr>
      <w:t>4. korpuss,</w:t>
    </w:r>
    <w:r>
      <w:rPr>
        <w:color w:val="000000"/>
        <w:sz w:val="20"/>
        <w:szCs w:val="20"/>
        <w:lang w:val="lv-LV"/>
      </w:rPr>
      <w:t xml:space="preserve"> Daugavpilī, LV- 5417</w:t>
    </w:r>
  </w:p>
  <w:p w:rsidR="002E3FF9" w:rsidP="00092D23" w14:paraId="742BE78A" w14:textId="5A508E1F">
    <w:pPr>
      <w:jc w:val="center"/>
      <w:rPr>
        <w:rStyle w:val="Hyperlink"/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</w:t>
    </w:r>
    <w:hyperlink r:id="rId2" w:history="1">
      <w:r>
        <w:rPr>
          <w:rStyle w:val="Hyperlink"/>
          <w:bCs/>
          <w:sz w:val="20"/>
          <w:lang w:val="lv-LV"/>
        </w:rPr>
        <w:t>latgale@vi.gov.lv</w:t>
      </w:r>
    </w:hyperlink>
    <w:r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1F6D33" w:rsidRPr="00633DAF" w:rsidP="00092D23" w14:paraId="2E7EC2E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35D24"/>
    <w:rsid w:val="0004171D"/>
    <w:rsid w:val="00042421"/>
    <w:rsid w:val="00043DA9"/>
    <w:rsid w:val="00044E16"/>
    <w:rsid w:val="00060D66"/>
    <w:rsid w:val="00064506"/>
    <w:rsid w:val="00064EB8"/>
    <w:rsid w:val="00067E42"/>
    <w:rsid w:val="00070DE3"/>
    <w:rsid w:val="00072AD7"/>
    <w:rsid w:val="00082050"/>
    <w:rsid w:val="00082363"/>
    <w:rsid w:val="000836BE"/>
    <w:rsid w:val="00083D68"/>
    <w:rsid w:val="0008432A"/>
    <w:rsid w:val="00087AF8"/>
    <w:rsid w:val="00092D23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668A"/>
    <w:rsid w:val="00103296"/>
    <w:rsid w:val="00104812"/>
    <w:rsid w:val="00106D19"/>
    <w:rsid w:val="00107697"/>
    <w:rsid w:val="00114A2B"/>
    <w:rsid w:val="00115CB8"/>
    <w:rsid w:val="00120046"/>
    <w:rsid w:val="00123624"/>
    <w:rsid w:val="00126852"/>
    <w:rsid w:val="0012698A"/>
    <w:rsid w:val="001275C5"/>
    <w:rsid w:val="001369C5"/>
    <w:rsid w:val="00136B47"/>
    <w:rsid w:val="00144795"/>
    <w:rsid w:val="00145308"/>
    <w:rsid w:val="00151472"/>
    <w:rsid w:val="00151696"/>
    <w:rsid w:val="00161456"/>
    <w:rsid w:val="00163148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5D88"/>
    <w:rsid w:val="001D6BD1"/>
    <w:rsid w:val="001E30BE"/>
    <w:rsid w:val="001E4D39"/>
    <w:rsid w:val="001E60F5"/>
    <w:rsid w:val="001F5AE3"/>
    <w:rsid w:val="001F6D33"/>
    <w:rsid w:val="00201915"/>
    <w:rsid w:val="00210040"/>
    <w:rsid w:val="00211C26"/>
    <w:rsid w:val="00217EFF"/>
    <w:rsid w:val="002213CB"/>
    <w:rsid w:val="00240007"/>
    <w:rsid w:val="00246554"/>
    <w:rsid w:val="002529E3"/>
    <w:rsid w:val="00254026"/>
    <w:rsid w:val="0025403B"/>
    <w:rsid w:val="00255382"/>
    <w:rsid w:val="002560A9"/>
    <w:rsid w:val="00257113"/>
    <w:rsid w:val="00262D25"/>
    <w:rsid w:val="00271B5F"/>
    <w:rsid w:val="002747F1"/>
    <w:rsid w:val="00277797"/>
    <w:rsid w:val="00280160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15E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4F9A"/>
    <w:rsid w:val="00327535"/>
    <w:rsid w:val="00327CF0"/>
    <w:rsid w:val="0033268D"/>
    <w:rsid w:val="00332F37"/>
    <w:rsid w:val="003341DA"/>
    <w:rsid w:val="00335C85"/>
    <w:rsid w:val="0033695B"/>
    <w:rsid w:val="0034016D"/>
    <w:rsid w:val="0034573B"/>
    <w:rsid w:val="00351B81"/>
    <w:rsid w:val="0035206D"/>
    <w:rsid w:val="0035491C"/>
    <w:rsid w:val="00356E9A"/>
    <w:rsid w:val="00370CCC"/>
    <w:rsid w:val="0037183B"/>
    <w:rsid w:val="00375A1F"/>
    <w:rsid w:val="0037647B"/>
    <w:rsid w:val="00377129"/>
    <w:rsid w:val="0039242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D6FFB"/>
    <w:rsid w:val="003D701D"/>
    <w:rsid w:val="003E47EF"/>
    <w:rsid w:val="003E6927"/>
    <w:rsid w:val="003F0398"/>
    <w:rsid w:val="003F33B7"/>
    <w:rsid w:val="003F4FB2"/>
    <w:rsid w:val="00402D47"/>
    <w:rsid w:val="004034FB"/>
    <w:rsid w:val="004303B4"/>
    <w:rsid w:val="00455FF2"/>
    <w:rsid w:val="0046092E"/>
    <w:rsid w:val="004610E8"/>
    <w:rsid w:val="00465EA4"/>
    <w:rsid w:val="00470897"/>
    <w:rsid w:val="00472C6E"/>
    <w:rsid w:val="00474850"/>
    <w:rsid w:val="0048168B"/>
    <w:rsid w:val="00487A16"/>
    <w:rsid w:val="004912DE"/>
    <w:rsid w:val="00491BB5"/>
    <w:rsid w:val="00494781"/>
    <w:rsid w:val="00494EA2"/>
    <w:rsid w:val="0049530D"/>
    <w:rsid w:val="00496DC1"/>
    <w:rsid w:val="004A0D44"/>
    <w:rsid w:val="004B1FAC"/>
    <w:rsid w:val="004B7410"/>
    <w:rsid w:val="004C144D"/>
    <w:rsid w:val="004C2520"/>
    <w:rsid w:val="004C4FF2"/>
    <w:rsid w:val="004D63BF"/>
    <w:rsid w:val="004D76F7"/>
    <w:rsid w:val="004D7F32"/>
    <w:rsid w:val="004E3A26"/>
    <w:rsid w:val="004F5BFE"/>
    <w:rsid w:val="005049C7"/>
    <w:rsid w:val="00510654"/>
    <w:rsid w:val="00520190"/>
    <w:rsid w:val="00537AA2"/>
    <w:rsid w:val="00540361"/>
    <w:rsid w:val="00543916"/>
    <w:rsid w:val="005514D8"/>
    <w:rsid w:val="00552816"/>
    <w:rsid w:val="00560950"/>
    <w:rsid w:val="00562B75"/>
    <w:rsid w:val="00567F04"/>
    <w:rsid w:val="00574B59"/>
    <w:rsid w:val="005827EC"/>
    <w:rsid w:val="00585B96"/>
    <w:rsid w:val="0058637F"/>
    <w:rsid w:val="005915CC"/>
    <w:rsid w:val="0059282D"/>
    <w:rsid w:val="00594DBA"/>
    <w:rsid w:val="00597F83"/>
    <w:rsid w:val="005A4699"/>
    <w:rsid w:val="005B73C4"/>
    <w:rsid w:val="005C05ED"/>
    <w:rsid w:val="005C17BC"/>
    <w:rsid w:val="005D22EB"/>
    <w:rsid w:val="005D4815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497E"/>
    <w:rsid w:val="00652EBB"/>
    <w:rsid w:val="00653727"/>
    <w:rsid w:val="0068137B"/>
    <w:rsid w:val="006834AF"/>
    <w:rsid w:val="006A09E3"/>
    <w:rsid w:val="006A40D3"/>
    <w:rsid w:val="006B0353"/>
    <w:rsid w:val="006B34BB"/>
    <w:rsid w:val="006B6E15"/>
    <w:rsid w:val="006C066D"/>
    <w:rsid w:val="006C345E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264D1"/>
    <w:rsid w:val="0073414D"/>
    <w:rsid w:val="00736B8D"/>
    <w:rsid w:val="00741EE3"/>
    <w:rsid w:val="007472DF"/>
    <w:rsid w:val="00750DB1"/>
    <w:rsid w:val="0075334D"/>
    <w:rsid w:val="00753F57"/>
    <w:rsid w:val="00761EB0"/>
    <w:rsid w:val="0076430E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B1733"/>
    <w:rsid w:val="007C262C"/>
    <w:rsid w:val="007D4773"/>
    <w:rsid w:val="007E2304"/>
    <w:rsid w:val="007F2704"/>
    <w:rsid w:val="007F526C"/>
    <w:rsid w:val="00810FA9"/>
    <w:rsid w:val="00812E1A"/>
    <w:rsid w:val="008179CE"/>
    <w:rsid w:val="00820012"/>
    <w:rsid w:val="00822BBD"/>
    <w:rsid w:val="00826076"/>
    <w:rsid w:val="008355A6"/>
    <w:rsid w:val="00840480"/>
    <w:rsid w:val="00842E5D"/>
    <w:rsid w:val="0084325F"/>
    <w:rsid w:val="008525E4"/>
    <w:rsid w:val="00864FDA"/>
    <w:rsid w:val="00872DDD"/>
    <w:rsid w:val="0089710B"/>
    <w:rsid w:val="008A1242"/>
    <w:rsid w:val="008A37EF"/>
    <w:rsid w:val="008A3DA7"/>
    <w:rsid w:val="008A6AAF"/>
    <w:rsid w:val="008B05EE"/>
    <w:rsid w:val="008B471D"/>
    <w:rsid w:val="008C06D3"/>
    <w:rsid w:val="008C37E6"/>
    <w:rsid w:val="008D0063"/>
    <w:rsid w:val="008D1487"/>
    <w:rsid w:val="008E0C54"/>
    <w:rsid w:val="008E3B42"/>
    <w:rsid w:val="008E45F8"/>
    <w:rsid w:val="008E62F0"/>
    <w:rsid w:val="008F580C"/>
    <w:rsid w:val="00900669"/>
    <w:rsid w:val="00911A26"/>
    <w:rsid w:val="00914F7A"/>
    <w:rsid w:val="009240C7"/>
    <w:rsid w:val="0092488F"/>
    <w:rsid w:val="0092792B"/>
    <w:rsid w:val="00930267"/>
    <w:rsid w:val="009313A7"/>
    <w:rsid w:val="00933986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4247"/>
    <w:rsid w:val="009B4FCF"/>
    <w:rsid w:val="009B58B6"/>
    <w:rsid w:val="009C3839"/>
    <w:rsid w:val="009C7C74"/>
    <w:rsid w:val="009D2BEB"/>
    <w:rsid w:val="009E356B"/>
    <w:rsid w:val="009E40BD"/>
    <w:rsid w:val="009E5EB3"/>
    <w:rsid w:val="009E625D"/>
    <w:rsid w:val="009F5F1F"/>
    <w:rsid w:val="00A0044F"/>
    <w:rsid w:val="00A02B48"/>
    <w:rsid w:val="00A05C5D"/>
    <w:rsid w:val="00A10828"/>
    <w:rsid w:val="00A14E17"/>
    <w:rsid w:val="00A1539A"/>
    <w:rsid w:val="00A26FE5"/>
    <w:rsid w:val="00A31F56"/>
    <w:rsid w:val="00A33F2B"/>
    <w:rsid w:val="00A41ED5"/>
    <w:rsid w:val="00A45A68"/>
    <w:rsid w:val="00A47DD5"/>
    <w:rsid w:val="00A50189"/>
    <w:rsid w:val="00A51A91"/>
    <w:rsid w:val="00A54A76"/>
    <w:rsid w:val="00A57431"/>
    <w:rsid w:val="00A611CA"/>
    <w:rsid w:val="00A7176E"/>
    <w:rsid w:val="00A71A45"/>
    <w:rsid w:val="00A731DE"/>
    <w:rsid w:val="00A7576E"/>
    <w:rsid w:val="00A80AD2"/>
    <w:rsid w:val="00A8594B"/>
    <w:rsid w:val="00A87669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D4E4E"/>
    <w:rsid w:val="00AE06D7"/>
    <w:rsid w:val="00AE119F"/>
    <w:rsid w:val="00AE4458"/>
    <w:rsid w:val="00AF2344"/>
    <w:rsid w:val="00AF4D31"/>
    <w:rsid w:val="00AF5154"/>
    <w:rsid w:val="00AF5F0B"/>
    <w:rsid w:val="00AF6968"/>
    <w:rsid w:val="00B02705"/>
    <w:rsid w:val="00B21D9B"/>
    <w:rsid w:val="00B22CEB"/>
    <w:rsid w:val="00B35C04"/>
    <w:rsid w:val="00B35E81"/>
    <w:rsid w:val="00B404FC"/>
    <w:rsid w:val="00B43275"/>
    <w:rsid w:val="00B47637"/>
    <w:rsid w:val="00B5223D"/>
    <w:rsid w:val="00B55A68"/>
    <w:rsid w:val="00B56932"/>
    <w:rsid w:val="00B63D10"/>
    <w:rsid w:val="00B64F06"/>
    <w:rsid w:val="00B82621"/>
    <w:rsid w:val="00B83A37"/>
    <w:rsid w:val="00B8747E"/>
    <w:rsid w:val="00B9671F"/>
    <w:rsid w:val="00B97258"/>
    <w:rsid w:val="00B97727"/>
    <w:rsid w:val="00BA0535"/>
    <w:rsid w:val="00BA3F93"/>
    <w:rsid w:val="00BA57F3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1783"/>
    <w:rsid w:val="00C17178"/>
    <w:rsid w:val="00C26E07"/>
    <w:rsid w:val="00C274B1"/>
    <w:rsid w:val="00C31047"/>
    <w:rsid w:val="00C37A2B"/>
    <w:rsid w:val="00C37C29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82CA2"/>
    <w:rsid w:val="00C934A3"/>
    <w:rsid w:val="00C94242"/>
    <w:rsid w:val="00C96C06"/>
    <w:rsid w:val="00CA2482"/>
    <w:rsid w:val="00CA350E"/>
    <w:rsid w:val="00CA6198"/>
    <w:rsid w:val="00CA75C7"/>
    <w:rsid w:val="00CA7CFD"/>
    <w:rsid w:val="00CB1EB9"/>
    <w:rsid w:val="00CB5A0C"/>
    <w:rsid w:val="00CC7BBB"/>
    <w:rsid w:val="00CF27A6"/>
    <w:rsid w:val="00CF4E53"/>
    <w:rsid w:val="00D00A94"/>
    <w:rsid w:val="00D03C1D"/>
    <w:rsid w:val="00D05B2A"/>
    <w:rsid w:val="00D11FE3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0AA2"/>
    <w:rsid w:val="00D52CFE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1E91"/>
    <w:rsid w:val="00D96768"/>
    <w:rsid w:val="00DA043F"/>
    <w:rsid w:val="00DB5E9B"/>
    <w:rsid w:val="00DB6B34"/>
    <w:rsid w:val="00DB74BC"/>
    <w:rsid w:val="00DD7C9A"/>
    <w:rsid w:val="00DF0E85"/>
    <w:rsid w:val="00DF1056"/>
    <w:rsid w:val="00DF1B30"/>
    <w:rsid w:val="00DF208A"/>
    <w:rsid w:val="00DF6F12"/>
    <w:rsid w:val="00DF7584"/>
    <w:rsid w:val="00E00AB5"/>
    <w:rsid w:val="00E175D6"/>
    <w:rsid w:val="00E17CE0"/>
    <w:rsid w:val="00E27EBE"/>
    <w:rsid w:val="00E32640"/>
    <w:rsid w:val="00E424EB"/>
    <w:rsid w:val="00E501D4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4AF7"/>
    <w:rsid w:val="00EA22ED"/>
    <w:rsid w:val="00EA7682"/>
    <w:rsid w:val="00EB5F72"/>
    <w:rsid w:val="00EC6CE3"/>
    <w:rsid w:val="00ED45C7"/>
    <w:rsid w:val="00EE70C4"/>
    <w:rsid w:val="00EF09E1"/>
    <w:rsid w:val="00EF7B39"/>
    <w:rsid w:val="00F11610"/>
    <w:rsid w:val="00F13A76"/>
    <w:rsid w:val="00F14327"/>
    <w:rsid w:val="00F16B1B"/>
    <w:rsid w:val="00F2460B"/>
    <w:rsid w:val="00F30519"/>
    <w:rsid w:val="00F34141"/>
    <w:rsid w:val="00F408B0"/>
    <w:rsid w:val="00F43670"/>
    <w:rsid w:val="00F52C76"/>
    <w:rsid w:val="00F54FF4"/>
    <w:rsid w:val="00F61CB9"/>
    <w:rsid w:val="00F70D34"/>
    <w:rsid w:val="00F917CB"/>
    <w:rsid w:val="00F92539"/>
    <w:rsid w:val="00F96A56"/>
    <w:rsid w:val="00F96B41"/>
    <w:rsid w:val="00FB116C"/>
    <w:rsid w:val="00FB1B4B"/>
    <w:rsid w:val="00FB20C5"/>
    <w:rsid w:val="00FB38EE"/>
    <w:rsid w:val="00FB48CC"/>
    <w:rsid w:val="00FB62DE"/>
    <w:rsid w:val="00FD0729"/>
    <w:rsid w:val="00FD26CB"/>
    <w:rsid w:val="00FD2B75"/>
    <w:rsid w:val="00FD4D3A"/>
    <w:rsid w:val="00FD58AC"/>
    <w:rsid w:val="00FE496D"/>
    <w:rsid w:val="00FE68E7"/>
    <w:rsid w:val="00FE757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KomentratekstsRakstz"/>
    <w:rsid w:val="00C752CC"/>
    <w:rPr>
      <w:sz w:val="20"/>
    </w:rPr>
  </w:style>
  <w:style w:type="character" w:customStyle="1" w:styleId="KomentratekstsRakstz">
    <w:name w:val="Komentāra teksts Rakstz.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KomentratmaRakstz"/>
    <w:rsid w:val="00C752CC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GalveneRakstz">
    <w:name w:val="Galvene Rakstz.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lat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5928</Words>
  <Characters>3379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2</cp:revision>
  <cp:lastPrinted>2024-02-08T06:54:00Z</cp:lastPrinted>
  <dcterms:created xsi:type="dcterms:W3CDTF">2025-05-28T12:29:00Z</dcterms:created>
  <dcterms:modified xsi:type="dcterms:W3CDTF">2025-05-28T12:29:00Z</dcterms:modified>
</cp:coreProperties>
</file>