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92F2F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E6217C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2F2F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RDefault="00E6217C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E6217C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392F2F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E6217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Liepāja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E6217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2D">
              <w:rPr>
                <w:rFonts w:ascii="Times New Roman" w:hAnsi="Times New Roman"/>
                <w:sz w:val="24"/>
                <w:szCs w:val="24"/>
              </w:rPr>
              <w:t>Biedrība Latvijas bridža federācija</w:t>
            </w:r>
          </w:p>
        </w:tc>
      </w:tr>
      <w:tr w:rsidR="00392F2F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6217C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E6217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392F2F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E6217C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E6217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62D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40008022063</w:t>
            </w:r>
          </w:p>
        </w:tc>
      </w:tr>
      <w:tr w:rsidR="00392F2F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E6217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E6217C" w:rsidP="003B1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392F2F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92162D" w:rsidRPr="0092162D" w:rsidRDefault="00E6217C" w:rsidP="009216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“Akvedukti”, Ķekavas pagasts, </w:t>
            </w:r>
          </w:p>
          <w:p w:rsidR="00E227D8" w:rsidRPr="005D1C44" w:rsidRDefault="00E6217C" w:rsidP="009216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62D">
              <w:rPr>
                <w:rFonts w:ascii="Times New Roman" w:hAnsi="Times New Roman"/>
                <w:color w:val="000000"/>
                <w:sz w:val="24"/>
                <w:szCs w:val="24"/>
              </w:rPr>
              <w:t>Ķekavas novads, LV-2111</w:t>
            </w:r>
          </w:p>
        </w:tc>
      </w:tr>
      <w:tr w:rsidR="00392F2F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E6217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vai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E6217C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22/12-3.8/35</w:t>
      </w:r>
    </w:p>
    <w:p w:rsidR="00C959F6" w:rsidRDefault="00E6217C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392F2F" w:rsidTr="00F408A7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6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E6217C" w:rsidP="00045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2162D">
              <w:rPr>
                <w:rFonts w:ascii="Times New Roman" w:hAnsi="Times New Roman" w:cs="Times New Roman"/>
                <w:sz w:val="24"/>
              </w:rPr>
              <w:t xml:space="preserve">atpūtas kompleksa “Juku dzirnavas” viesu nama (kadastra apzīmējums 84880040113001) kempinga namiņi (kadastra apzīmējums 84880040116007,  </w:t>
            </w:r>
            <w:r w:rsidRPr="0092162D">
              <w:rPr>
                <w:rFonts w:ascii="Times New Roman" w:hAnsi="Times New Roman" w:cs="Times New Roman"/>
                <w:sz w:val="24"/>
              </w:rPr>
              <w:t>84880040116008, 84880040116009,  84880040116010,  84880040116011, 84880040116012, 84880040116013, 84880040116014, 84880040116015, 84880040116016, 84880040116017 un teritorija (turpmāk – Objekts).</w:t>
            </w:r>
          </w:p>
        </w:tc>
      </w:tr>
      <w:tr w:rsidR="00392F2F" w:rsidTr="00F408A7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E6217C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392F2F" w:rsidTr="00F408A7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6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E6217C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2162D">
              <w:rPr>
                <w:rFonts w:ascii="Times New Roman" w:hAnsi="Times New Roman" w:cs="Times New Roman"/>
                <w:sz w:val="24"/>
              </w:rPr>
              <w:t>“Juku dzirnavas”, Šķēdes pagasts, Saldus novads, LV-3875.</w:t>
            </w:r>
          </w:p>
        </w:tc>
      </w:tr>
      <w:tr w:rsidR="00392F2F" w:rsidTr="00F408A7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2F2F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6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E6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2162D">
              <w:rPr>
                <w:rFonts w:ascii="Times New Roman" w:hAnsi="Times New Roman" w:cs="Times New Roman"/>
                <w:sz w:val="24"/>
              </w:rPr>
              <w:t>SIA “Juku īpašums”,</w:t>
            </w:r>
          </w:p>
        </w:tc>
      </w:tr>
      <w:tr w:rsidR="00392F2F" w:rsidTr="00F408A7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E6217C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392F2F" w:rsidTr="00F408A7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E6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 40203262755, “Juku dzirnavas”, Šķēdes </w:t>
            </w: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pagasts, Saldus novads.</w:t>
            </w:r>
          </w:p>
        </w:tc>
      </w:tr>
      <w:tr w:rsidR="00392F2F" w:rsidTr="00F408A7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E6217C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392F2F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6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E6217C" w:rsidP="0092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2162D">
              <w:rPr>
                <w:rFonts w:ascii="Times New Roman" w:hAnsi="Times New Roman" w:cs="Times New Roman"/>
                <w:sz w:val="24"/>
              </w:rPr>
              <w:t>Kārļa Rubīna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92162D">
              <w:rPr>
                <w:rFonts w:ascii="Times New Roman" w:hAnsi="Times New Roman" w:cs="Times New Roman"/>
                <w:sz w:val="24"/>
              </w:rPr>
              <w:t>Nometņu vadītāja apliecības numurs: SP-00046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92162D">
              <w:rPr>
                <w:rFonts w:ascii="Times New Roman" w:hAnsi="Times New Roman" w:cs="Times New Roman"/>
                <w:sz w:val="24"/>
              </w:rPr>
              <w:t xml:space="preserve"> 2025.gada 7.aprīļa iesniegums Nr. 22/12-1.4/175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92F2F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2F2F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6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E6217C" w:rsidP="00045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Objekta viesu nams un kempinga namiņi aprīkoti ar automātisko ugunsgrēka atklāšanas un trauksmes signalizācijas sistēmu, un nodrošināti ar </w:t>
            </w: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pārnēsājamiem ugunsdzēsības aparātiem. Objekta viesu nama telpas nodrošināts ar evakuācijas plāniem un evakuācijas izejām.</w:t>
            </w:r>
          </w:p>
        </w:tc>
      </w:tr>
      <w:tr w:rsidR="00392F2F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2F2F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6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92162D" w:rsidRPr="0092162D" w:rsidRDefault="00E6217C" w:rsidP="0092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62D" w:rsidRPr="0092162D" w:rsidRDefault="00E6217C" w:rsidP="00045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Objektā e</w:t>
            </w: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lektroinstalācijas (tai skaitā zemējuma un </w:t>
            </w:r>
            <w:proofErr w:type="spellStart"/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zibensaizsardzības</w:t>
            </w:r>
            <w:proofErr w:type="spellEnd"/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 ierīces) pārbaude nav veikta pilnā apjomā,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kā rezultātā nav nodrošināta Ugunsdrošības noteikumu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56.punkta prasība;</w:t>
            </w:r>
          </w:p>
          <w:p w:rsidR="0092162D" w:rsidRPr="0092162D" w:rsidRDefault="00E6217C" w:rsidP="00045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6.2. Objektā elektroinstalācijas izolācijas pretestības, cilpas "fāze–nulle" pilnās pretestības, </w:t>
            </w:r>
            <w:proofErr w:type="spellStart"/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zemējumietaises</w:t>
            </w:r>
            <w:proofErr w:type="spellEnd"/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 pretestīb</w:t>
            </w: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as, </w:t>
            </w:r>
            <w:proofErr w:type="spellStart"/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zemējumvada</w:t>
            </w:r>
            <w:proofErr w:type="spellEnd"/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 nepārtrauktības saites un </w:t>
            </w:r>
            <w:proofErr w:type="spellStart"/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zibensaizsardzīb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="00045814">
              <w:rPr>
                <w:rFonts w:ascii="Times New Roman" w:hAnsi="Times New Roman" w:cs="Times New Roman"/>
                <w:sz w:val="24"/>
                <w:szCs w:val="24"/>
              </w:rPr>
              <w:t xml:space="preserve"> sistēmas pārbaudes nav veiktas</w:t>
            </w: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 pilnā apjomā un  rezultāti nav noformēti ar pārbaudes aktu atbilstoši Ugunsdrošības 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>noteikumu 6.pielikuma prasībām</w:t>
            </w: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(Elektroinstalācijas mērījumu aktam nav pievienota elektroinstalācijas shēma, trūkst rezultātu aile par  kabeļa marku, dzīslu skaitu, dzīslas materiālu, dzīslas šķērsgriezumu, pārbaudes spriegumu, un izolācijas pretestību), </w:t>
            </w:r>
            <w:r w:rsidR="00045814"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kā rezultātā nav nodrošināta Ugunsdrošības noteikumu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 xml:space="preserve"> 57.punkta prasība;</w:t>
            </w:r>
          </w:p>
          <w:p w:rsidR="00E227D8" w:rsidRDefault="00E6217C" w:rsidP="00045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 Obje</w:t>
            </w:r>
            <w:r w:rsidR="00480EBF">
              <w:rPr>
                <w:rFonts w:ascii="Times New Roman" w:hAnsi="Times New Roman" w:cs="Times New Roman"/>
                <w:sz w:val="24"/>
                <w:szCs w:val="24"/>
              </w:rPr>
              <w:t>kta kempinga mājiņā Nr. 10 automātiskā ugunsgrēka</w:t>
            </w:r>
            <w:r w:rsidR="00F900DB">
              <w:rPr>
                <w:rFonts w:ascii="Times New Roman" w:hAnsi="Times New Roman" w:cs="Times New Roman"/>
                <w:sz w:val="24"/>
                <w:szCs w:val="24"/>
              </w:rPr>
              <w:t xml:space="preserve"> atklāšanas </w:t>
            </w:r>
            <w:r w:rsidR="00480EBF">
              <w:rPr>
                <w:rFonts w:ascii="Times New Roman" w:hAnsi="Times New Roman" w:cs="Times New Roman"/>
                <w:sz w:val="24"/>
                <w:szCs w:val="24"/>
              </w:rPr>
              <w:t xml:space="preserve"> un trauksmes </w:t>
            </w:r>
            <w:r w:rsidR="00F900DB">
              <w:rPr>
                <w:rFonts w:ascii="Times New Roman" w:hAnsi="Times New Roman" w:cs="Times New Roman"/>
                <w:sz w:val="24"/>
                <w:szCs w:val="24"/>
              </w:rPr>
              <w:t>signalizācijas</w:t>
            </w: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0DB">
              <w:rPr>
                <w:rFonts w:ascii="Times New Roman" w:hAnsi="Times New Roman" w:cs="Times New Roman"/>
                <w:sz w:val="24"/>
                <w:szCs w:val="24"/>
              </w:rPr>
              <w:t>(turpmāk-AUATS)</w:t>
            </w: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sistēma netiek uzturēta darba kārtībā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5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45814"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kā rezultātā nav nodrošināta Ugunsdrošības noteikumu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>, 123.punkta prasība;</w:t>
            </w:r>
          </w:p>
          <w:p w:rsidR="0092162D" w:rsidRPr="0092162D" w:rsidRDefault="00E6217C" w:rsidP="00045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6.4. Objekta kempingu mājiņām (11gb) netiek uzglabāta AUATS sistēmas būvniecības ieceres dokumentāc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 xml:space="preserve">ija vai tās apliecināta kopija, </w:t>
            </w:r>
            <w:r w:rsidR="00045814"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kā rezultātā nav nodrošināta Ugunsdrošības noteikumu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>, 125.punkta prasība;</w:t>
            </w:r>
          </w:p>
          <w:p w:rsidR="0092162D" w:rsidRPr="0092162D" w:rsidRDefault="00E6217C" w:rsidP="00045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6.5. Objekta viesu mājas pagrabā ugunsai</w:t>
            </w: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zsardzības sistēmas manuālā tālvadības iedarbināšanas ierīce nav apzīmēta  ar Ugunsdrošības noteikumu 1.pielikuma 4.6.zīmi “Ugunsaizsardzības sistēmas 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 xml:space="preserve">manuālā iedarbināšanas ierīce”, </w:t>
            </w:r>
            <w:r w:rsidR="00045814"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kā rezultātā nav nodrošināta Ugunsdrošības noteikumu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>, 136.punkta prasība;</w:t>
            </w:r>
          </w:p>
          <w:p w:rsidR="0092162D" w:rsidRPr="0092162D" w:rsidRDefault="00E6217C" w:rsidP="00045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6.6. Objekta viesu ēkā zem atklātām kāpnēm novietoti priekšmeti (bērnu gulta)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5814"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 rezultātā nav nodrošināta Ugunsdrošības noteikumu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 xml:space="preserve"> 246.8.apakšpunkta prasība;</w:t>
            </w:r>
          </w:p>
          <w:p w:rsidR="0092162D" w:rsidRPr="00E227D8" w:rsidRDefault="00E6217C" w:rsidP="00045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6.7. Objekta Viesu mājas 1.stāva virtuvē ugunsdzēsības līdzeklis, bet tieši ugunsdzēsības pārklā</w:t>
            </w: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ja vieta nav apzīmēta ar Ugunsdrošības noteikumu 1.pielikuma 4.1.zīmi  “Ugunsdzēsības aprīkojums un līdz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 xml:space="preserve">ekļi”, </w:t>
            </w:r>
            <w:r w:rsidR="00045814"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kā rezultātā nav nodrošināta Ugunsdrošības noteikumu</w:t>
            </w:r>
            <w:r w:rsidR="00045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5814">
              <w:rPr>
                <w:rFonts w:ascii="Times New Roman" w:hAnsi="Times New Roman" w:cs="Times New Roman"/>
                <w:sz w:val="24"/>
                <w:szCs w:val="24"/>
              </w:rPr>
              <w:t>265.punkta prasība.</w:t>
            </w:r>
          </w:p>
        </w:tc>
      </w:tr>
      <w:tr w:rsidR="00392F2F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2F2F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6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E6217C" w:rsidP="0004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2162D">
              <w:rPr>
                <w:rFonts w:ascii="Times New Roman" w:hAnsi="Times New Roman" w:cs="Times New Roman"/>
                <w:b/>
                <w:sz w:val="24"/>
              </w:rPr>
              <w:t>Objekts n</w:t>
            </w:r>
            <w:r w:rsidR="00045814">
              <w:rPr>
                <w:rFonts w:ascii="Times New Roman" w:hAnsi="Times New Roman" w:cs="Times New Roman"/>
                <w:b/>
                <w:sz w:val="24"/>
              </w:rPr>
              <w:t>eatbilst ugunsdrošības prasībām.</w:t>
            </w:r>
          </w:p>
        </w:tc>
      </w:tr>
      <w:tr w:rsidR="00392F2F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2F2F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6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E6217C" w:rsidP="00045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2162D">
              <w:rPr>
                <w:rFonts w:ascii="Times New Roman" w:hAnsi="Times New Roman" w:cs="Times New Roman"/>
                <w:sz w:val="24"/>
              </w:rPr>
              <w:t>Ministru kabineta 2009.gada 1.septembra noteikumu Nr.981 “Bērnu nometņu organizēšanas un darbības kārtība” 8.5.apakšpunkta prasībām.</w:t>
            </w:r>
          </w:p>
        </w:tc>
      </w:tr>
      <w:tr w:rsidR="00392F2F" w:rsidTr="00F408A7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E6217C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392F2F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6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E6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Atzinumu </w:t>
            </w:r>
            <w:r w:rsidRPr="00E227D8">
              <w:rPr>
                <w:rFonts w:ascii="Times New Roman" w:hAnsi="Times New Roman" w:cs="Times New Roman"/>
                <w:sz w:val="24"/>
              </w:rPr>
              <w:t>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2162D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392F2F" w:rsidTr="00F408A7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E6217C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E6217C" w:rsidP="003E7B3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3E7B3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E6217C" w:rsidP="003E7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dienas </w:t>
      </w:r>
      <w:r w:rsidRPr="007D2C05">
        <w:rPr>
          <w:rFonts w:ascii="Times New Roman" w:hAnsi="Times New Roman" w:cs="Times New Roman"/>
          <w:sz w:val="24"/>
          <w:szCs w:val="24"/>
        </w:rPr>
        <w:t>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92F2F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E6217C" w:rsidP="003B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2F2F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E6217C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392F2F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E6217C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Kurzemes reģiona </w:t>
            </w:r>
            <w:r w:rsidRPr="0092162D">
              <w:rPr>
                <w:rFonts w:ascii="Times New Roman" w:hAnsi="Times New Roman" w:cs="Times New Roman"/>
                <w:sz w:val="24"/>
                <w:szCs w:val="24"/>
              </w:rPr>
              <w:t>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E6217C" w:rsidP="00921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E6217C" w:rsidP="00921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Sleže</w:t>
            </w:r>
            <w:proofErr w:type="spellEnd"/>
          </w:p>
        </w:tc>
      </w:tr>
      <w:tr w:rsidR="00392F2F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E6217C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E6217C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E6217C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E6217C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392F2F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F2F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E6217C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vārds,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E6217C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E6217C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E6217C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E6217C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217C" w:rsidRDefault="00E6217C">
      <w:pPr>
        <w:spacing w:after="0" w:line="240" w:lineRule="auto"/>
      </w:pPr>
      <w:r>
        <w:separator/>
      </w:r>
    </w:p>
  </w:endnote>
  <w:endnote w:type="continuationSeparator" w:id="0">
    <w:p w:rsidR="00E6217C" w:rsidRDefault="00E6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217C" w:rsidRDefault="00E6217C">
      <w:pPr>
        <w:spacing w:after="0" w:line="240" w:lineRule="auto"/>
      </w:pPr>
      <w:r>
        <w:separator/>
      </w:r>
    </w:p>
  </w:footnote>
  <w:footnote w:type="continuationSeparator" w:id="0">
    <w:p w:rsidR="00E6217C" w:rsidRDefault="00E6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1191387510"/>
      <w:docPartObj>
        <w:docPartGallery w:val="Page Numbers (Top of Page)"/>
        <w:docPartUnique/>
      </w:docPartObj>
    </w:sdtPr>
    <w:sdtEndPr/>
    <w:sdtContent>
      <w:p w:rsidR="00E227D8" w:rsidRPr="00762AE8" w:rsidRDefault="00E6217C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581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45814"/>
    <w:rsid w:val="00070E23"/>
    <w:rsid w:val="0015650A"/>
    <w:rsid w:val="00281811"/>
    <w:rsid w:val="002A02AD"/>
    <w:rsid w:val="003437F5"/>
    <w:rsid w:val="00346269"/>
    <w:rsid w:val="00392F2F"/>
    <w:rsid w:val="003B17EF"/>
    <w:rsid w:val="003B1B68"/>
    <w:rsid w:val="003B78D3"/>
    <w:rsid w:val="003E7B32"/>
    <w:rsid w:val="003F61D3"/>
    <w:rsid w:val="003F7326"/>
    <w:rsid w:val="00410716"/>
    <w:rsid w:val="00426EBD"/>
    <w:rsid w:val="00441E69"/>
    <w:rsid w:val="00471268"/>
    <w:rsid w:val="00480EBF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635786"/>
    <w:rsid w:val="0065049A"/>
    <w:rsid w:val="006574CC"/>
    <w:rsid w:val="00673EB4"/>
    <w:rsid w:val="00682895"/>
    <w:rsid w:val="00697E43"/>
    <w:rsid w:val="00736BC1"/>
    <w:rsid w:val="00762AE8"/>
    <w:rsid w:val="007665C9"/>
    <w:rsid w:val="00794977"/>
    <w:rsid w:val="00794DFA"/>
    <w:rsid w:val="007A187F"/>
    <w:rsid w:val="007D2C05"/>
    <w:rsid w:val="00840100"/>
    <w:rsid w:val="00884E35"/>
    <w:rsid w:val="008A30BC"/>
    <w:rsid w:val="0092162D"/>
    <w:rsid w:val="00922C9D"/>
    <w:rsid w:val="00964438"/>
    <w:rsid w:val="0097786E"/>
    <w:rsid w:val="00A025C5"/>
    <w:rsid w:val="00A03583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51BBF"/>
    <w:rsid w:val="00C522E2"/>
    <w:rsid w:val="00C946FD"/>
    <w:rsid w:val="00C959F6"/>
    <w:rsid w:val="00D639C2"/>
    <w:rsid w:val="00DB3B2E"/>
    <w:rsid w:val="00DD6EF6"/>
    <w:rsid w:val="00E0387C"/>
    <w:rsid w:val="00E227D8"/>
    <w:rsid w:val="00E60393"/>
    <w:rsid w:val="00E6217C"/>
    <w:rsid w:val="00F3463E"/>
    <w:rsid w:val="00F408A7"/>
    <w:rsid w:val="00F900DB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3195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User</cp:lastModifiedBy>
  <cp:revision>2</cp:revision>
  <dcterms:created xsi:type="dcterms:W3CDTF">2025-08-04T14:44:00Z</dcterms:created>
  <dcterms:modified xsi:type="dcterms:W3CDTF">2025-08-04T14:44:00Z</dcterms:modified>
</cp:coreProperties>
</file>