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CC9905E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3CC9905D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CC99061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3CC9905F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3CC99060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3CC99062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CC9906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CC99063" w14:textId="37CA43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118"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CC9906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CC99065" w14:textId="11EB3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118">
              <w:rPr>
                <w:rFonts w:ascii="Times New Roman" w:hAnsi="Times New Roman"/>
                <w:sz w:val="24"/>
                <w:szCs w:val="24"/>
              </w:rPr>
              <w:t>SIA “</w:t>
            </w:r>
            <w:r w:rsidRPr="00CB2118">
              <w:rPr>
                <w:rFonts w:ascii="Times New Roman" w:hAnsi="Times New Roman"/>
                <w:sz w:val="24"/>
                <w:szCs w:val="24"/>
              </w:rPr>
              <w:t>OnPlate</w:t>
            </w:r>
            <w:r w:rsidRPr="00CB2118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14:paraId="3CC9906A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CC99067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CC9906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CC9906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3CC9906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CC9906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13.03.2025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CC9906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CC9906D" w14:textId="796A34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118"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 w:rsidRPr="00CB2118">
              <w:rPr>
                <w:rFonts w:ascii="Times New Roman" w:hAnsi="Times New Roman"/>
                <w:color w:val="000000"/>
                <w:sz w:val="24"/>
                <w:szCs w:val="24"/>
              </w:rPr>
              <w:t>. nr. 40103824945</w:t>
            </w:r>
          </w:p>
        </w:tc>
      </w:tr>
      <w:tr w14:paraId="3CC9907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CC9906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CC9907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3CC9907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CC9907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CC9907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CC9907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CC99075" w14:textId="4A2551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118">
              <w:rPr>
                <w:rFonts w:ascii="Times New Roman" w:hAnsi="Times New Roman"/>
                <w:color w:val="000000"/>
                <w:sz w:val="24"/>
                <w:szCs w:val="24"/>
              </w:rPr>
              <w:t>Alauksta iela 21 - 26, Rīga, LV-1009</w:t>
            </w:r>
          </w:p>
        </w:tc>
      </w:tr>
      <w:tr w14:paraId="3CC9907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CC9907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CC9907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CC9907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CC9907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CC9907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/10</w:t>
      </w:r>
    </w:p>
    <w:p w:rsidR="00C959F6" w:rsidP="00070E23" w14:paraId="3CC9907D" w14:textId="632AF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20630C" w:rsidP="00070E23" w14:paraId="03846BB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Reatabul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793"/>
      </w:tblGrid>
      <w:tr w14:paraId="7EF7D017" w14:textId="77777777" w:rsidTr="00196B90">
        <w:tblPrEx>
          <w:tblW w:w="92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2AA7C3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01143311" w14:textId="77777777">
            <w:pPr>
              <w:rPr>
                <w:rFonts w:ascii="Times New Roman" w:hAnsi="Times New Roman" w:cs="Times New Roman"/>
                <w:sz w:val="24"/>
              </w:rPr>
            </w:pPr>
            <w:r w:rsidRPr="0020630C">
              <w:rPr>
                <w:rFonts w:ascii="Times New Roman" w:hAnsi="Times New Roman" w:cs="Times New Roman"/>
                <w:sz w:val="24"/>
              </w:rPr>
              <w:t>Apsekots: Dobeles Valsts ģimnāzijas mācību klases Nr.32, Nr.33, aktu zāle un evakuācijas ceļi</w:t>
            </w:r>
          </w:p>
        </w:tc>
      </w:tr>
      <w:tr w14:paraId="1525BA7F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0630C" w:rsidRPr="0020630C" w:rsidP="0020630C" w14:paraId="03F6F60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20630C" w:rsidRPr="0020630C" w:rsidP="0020630C" w14:paraId="3449FAC2" w14:textId="7777777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D2840D7" w14:textId="77777777" w:rsidTr="00196B90">
        <w:tblPrEx>
          <w:tblW w:w="9214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637061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6960AF0C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 xml:space="preserve">Adrese: </w:t>
            </w:r>
            <w:r w:rsidRPr="00206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Dzirnavu iela 2, Dobele, Dobeles novads, LV-3701</w:t>
            </w:r>
          </w:p>
        </w:tc>
      </w:tr>
      <w:tr w14:paraId="4E172647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20630C" w:rsidRPr="0020630C" w:rsidP="0020630C" w14:paraId="4C4C5E0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</w:tcPr>
          <w:p w:rsidR="0020630C" w:rsidRPr="0020630C" w:rsidP="0020630C" w14:paraId="28BF4DC4" w14:textId="77777777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</w:tr>
      <w:tr w14:paraId="38FD9DFB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692455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320305AD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Īpašnieks (valdītājs): </w:t>
            </w:r>
            <w:r w:rsidRPr="0020630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Dobeles novada pašvaldība</w:t>
            </w:r>
          </w:p>
        </w:tc>
      </w:tr>
      <w:tr w14:paraId="6CBD0324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0630C" w:rsidRPr="0020630C" w:rsidP="0020630C" w14:paraId="74A281B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20630C" w:rsidRPr="0020630C" w:rsidP="0020630C" w14:paraId="195854E1" w14:textId="7777777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63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C61359C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20630C" w:rsidRPr="0020630C" w:rsidP="0020630C" w14:paraId="2A2E80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54FB00F9" w14:textId="777777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3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Reģ.Nr</w:t>
            </w:r>
            <w:r w:rsidRPr="002063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063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90009115092</w:t>
            </w:r>
            <w:r w:rsidRPr="002063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Brīvības iela 17, Dobele, Dobeles nov., LV-3701</w:t>
            </w:r>
          </w:p>
        </w:tc>
      </w:tr>
      <w:tr w14:paraId="4BC5BDB4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20630C" w:rsidRPr="0020630C" w:rsidP="0020630C" w14:paraId="785283C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20630C" w:rsidRPr="0020630C" w:rsidP="0020630C" w14:paraId="1095540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0630C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un adrese)</w:t>
            </w:r>
          </w:p>
        </w:tc>
      </w:tr>
      <w:tr w14:paraId="26674111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7C0B73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5E59643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630C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2063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Samantas Elizabetes Ozolas </w:t>
            </w:r>
            <w:r w:rsidRPr="0020630C">
              <w:rPr>
                <w:rFonts w:ascii="Times New Roman" w:hAnsi="Times New Roman" w:cs="Times New Roman"/>
                <w:sz w:val="24"/>
              </w:rPr>
              <w:t xml:space="preserve">2025.gada 6.marta iesniegums </w:t>
            </w:r>
          </w:p>
        </w:tc>
      </w:tr>
      <w:tr w14:paraId="7AE307C6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0630C" w:rsidRPr="0020630C" w:rsidP="0020630C" w14:paraId="6237F8E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20630C" w:rsidRPr="0020630C" w:rsidP="0020630C" w14:paraId="18547396" w14:textId="77777777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</w:tr>
      <w:tr w14:paraId="503B4748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72AE1F4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1CF3CE3A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Apsekoto būvju, ēku vai telpu raksturojums: Objekts ir aprīkots ar automātisko </w:t>
            </w:r>
          </w:p>
        </w:tc>
      </w:tr>
      <w:tr w14:paraId="2F2402CE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0D2A888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33C53236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ugunsgrēka atklāšanas un trauksmes signalizācijas sistēmu un ugunsdzēsības aparātiem.</w:t>
            </w:r>
          </w:p>
        </w:tc>
      </w:tr>
      <w:tr w14:paraId="57B11A2D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0630C" w:rsidRPr="0020630C" w:rsidP="0020630C" w14:paraId="138C73B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20630C" w:rsidRPr="0020630C" w:rsidP="0020630C" w14:paraId="0E4066B6" w14:textId="77777777">
            <w:pPr>
              <w:rPr>
                <w:rFonts w:ascii="Times New Roman" w:hAnsi="Times New Roman" w:cs="Times New Roman"/>
                <w:sz w:val="8"/>
                <w:szCs w:val="8"/>
                <w:highlight w:val="yellow"/>
              </w:rPr>
            </w:pPr>
          </w:p>
        </w:tc>
      </w:tr>
      <w:tr w14:paraId="5CBA4D4D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404603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590D50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</w:p>
          <w:p w:rsidR="0020630C" w:rsidRPr="0020630C" w:rsidP="0020630C" w14:paraId="6EC6D3DA" w14:textId="77777777">
            <w:pPr>
              <w:ind w:left="397" w:hanging="397"/>
              <w:jc w:val="both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 xml:space="preserve">6.1. Atsevišķas Objekta durvis, kas atdala kāpņu telpas no citas nozīmes telpām, nav aprīkotas ar </w:t>
            </w: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pašaizverses</w:t>
            </w: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 xml:space="preserve"> mehānismiem un noblīvētām </w:t>
            </w: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piedurlīstēm</w:t>
            </w: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, lai nepieļautu dūmu un citu degšanas produktu izplatīšanos ugunsgrēka gadījumā (piemēram, 3.stāvā durvis no aktu zāles uz kāpņu telpu).</w:t>
            </w:r>
          </w:p>
        </w:tc>
      </w:tr>
      <w:tr w14:paraId="7643A3D7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72346D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605D4C44" w14:textId="77777777">
            <w:pPr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206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Objekta durvis, kas atdala kāpņu telpas no citas nozīmes telpām netiek turētas pastāvīgi aizvērtā stāvoklī, bet tieši, durvīm ir patvaļīgi ierīkotas fiksācijas ierīces, kas nenodrošina durvju aizvēršanos.</w:t>
            </w:r>
          </w:p>
        </w:tc>
      </w:tr>
      <w:tr w14:paraId="51778CC2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1BF178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19B50B19" w14:textId="77777777">
            <w:pPr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6.3. Objekta atbildīgā persona nav nodrošinājusi ugunsdrošības instruktāžu visām organizatoriski iesaistītajām personām.</w:t>
            </w:r>
          </w:p>
        </w:tc>
      </w:tr>
      <w:tr w14:paraId="384CE500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725FBD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5DFC6F76" w14:textId="77777777">
            <w:pPr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 xml:space="preserve">6.4.  </w:t>
            </w:r>
            <w:r w:rsidRPr="00206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Atsevišķās vietās (piemēram, 2.sāva kāpņu telpā) Objekta evakuācijas ceļos izvietota evakuācijas 5.1.zīme (Ugunsdrošības noteikumu 1.pielikums) “Evakuācijas izeja” maldina lietotāju.</w:t>
            </w:r>
          </w:p>
        </w:tc>
      </w:tr>
      <w:tr w14:paraId="2678C75B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78F9F0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2787F96E" w14:textId="77777777">
            <w:pPr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6.5. Objekta atbildīgā persona nav nodrošinājusi Objekta automātiskās ugunsgrēka atklāšanas un trauksmes signalizācijas sistēmas (turpmāk – AUATSS)  tehnisko apkopi un tehniskās apkopes kontroli, bet tieši, saskaņā ar ierakstiem ugunsaizsardzības sistēmas iedarbošanās gadījumu un bojājumu uzskaites žurnālā, pēdējā AUATSS pārbaude veikta 2024.gada jūlijā.</w:t>
            </w:r>
          </w:p>
        </w:tc>
      </w:tr>
      <w:tr w14:paraId="2039F048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0284B2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37B119DC" w14:textId="77777777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6.6. Objekta AUATSS iedarbošanās gadījumu un bojājumu uzskaites žurnālam nav                       pievienoti nosacījumi sistēmas tehniskajai apkopei un uzturēšanai.</w:t>
            </w:r>
          </w:p>
        </w:tc>
      </w:tr>
      <w:tr w14:paraId="6B9CDB97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69C3BF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1586B365" w14:textId="77777777">
            <w:pPr>
              <w:ind w:left="397" w:hanging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6.7.  AUATSS manuālās tālvadības iedarbināšanas ierīcei, kas atrodas 3.stāvā, pie aktu zāles, nav nodrošināta brīva piekļuve.</w:t>
            </w:r>
          </w:p>
        </w:tc>
      </w:tr>
      <w:tr w14:paraId="06387122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0630C" w:rsidRPr="0020630C" w:rsidP="0020630C" w14:paraId="7BA12F0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20630C" w:rsidRPr="0020630C" w:rsidP="0020630C" w14:paraId="7195430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CAE5FAA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3E58CA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6F6C66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20630C">
              <w:rPr>
                <w:rFonts w:ascii="Times New Roman" w:hAnsi="Times New Roman" w:cs="Times New Roman"/>
                <w:sz w:val="24"/>
              </w:rPr>
              <w:t>Objekts</w:t>
            </w:r>
            <w:r w:rsidRPr="0020630C">
              <w:rPr>
                <w:rFonts w:ascii="Times New Roman" w:hAnsi="Times New Roman" w:cs="Times New Roman"/>
                <w:b/>
                <w:sz w:val="24"/>
              </w:rPr>
              <w:t xml:space="preserve"> neatbilst</w:t>
            </w:r>
            <w:r w:rsidRPr="0020630C">
              <w:rPr>
                <w:rFonts w:ascii="Times New Roman" w:hAnsi="Times New Roman" w:cs="Times New Roman"/>
                <w:sz w:val="24"/>
              </w:rPr>
              <w:t xml:space="preserve"> ugunsdrošības prasībām.</w:t>
            </w:r>
          </w:p>
        </w:tc>
      </w:tr>
      <w:tr w14:paraId="5CEA2E90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0630C" w:rsidRPr="0020630C" w:rsidP="0020630C" w14:paraId="3898D21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20630C" w:rsidRPr="0020630C" w:rsidP="0020630C" w14:paraId="59C1050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D794E43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1F0928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3D6096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</w:rPr>
              <w:t>Atzinums izdots saskaņā ar: Ministru kabineta 2009.gada 1.septembra noteikumu Nr.981 „Bērnu nometņu organizēšanas un darbības kārtība” 8.5. apakšpunktu.</w:t>
            </w:r>
          </w:p>
        </w:tc>
      </w:tr>
      <w:tr w14:paraId="67A5F6C6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20630C" w:rsidRPr="0020630C" w:rsidP="0020630C" w14:paraId="71BC43E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20630C" w:rsidRPr="0020630C" w:rsidP="0020630C" w14:paraId="5E86779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30C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089936D" w14:textId="77777777" w:rsidTr="00196B90">
        <w:tblPrEx>
          <w:tblW w:w="9214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630C" w:rsidRPr="0020630C" w:rsidP="0020630C" w14:paraId="64F908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20630C" w:rsidRPr="0020630C" w:rsidP="0020630C" w14:paraId="40D5AE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</w:rPr>
              <w:t>Atzinumu paredzēts iesniegt: Valsts izglītības satura centram</w:t>
            </w:r>
          </w:p>
        </w:tc>
      </w:tr>
      <w:tr w14:paraId="71ACDD12" w14:textId="77777777" w:rsidTr="00196B90">
        <w:tblPrEx>
          <w:tblW w:w="9214" w:type="dxa"/>
          <w:tblLayout w:type="fixed"/>
          <w:tblLook w:val="04A0"/>
        </w:tblPrEx>
        <w:trPr>
          <w:trHeight w:val="374"/>
        </w:trPr>
        <w:tc>
          <w:tcPr>
            <w:tcW w:w="421" w:type="dxa"/>
            <w:tcBorders>
              <w:top w:val="single" w:sz="4" w:space="0" w:color="auto"/>
            </w:tcBorders>
          </w:tcPr>
          <w:p w:rsidR="0020630C" w:rsidRPr="0020630C" w:rsidP="0020630C" w14:paraId="18E9AAD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20630C" w:rsidRPr="0020630C" w:rsidP="0020630C" w14:paraId="574AF52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30C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20630C" w:rsidRPr="0020630C" w:rsidP="0020630C" w14:paraId="0FA9E2F2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0630C">
        <w:rPr>
          <w:rFonts w:ascii="Times New Roman" w:hAnsi="Times New Roman" w:cs="Times New Roman"/>
          <w:sz w:val="24"/>
        </w:rPr>
        <w:t>Atzinums iesniegšanai derīgs sešus mēnešus.</w:t>
      </w:r>
    </w:p>
    <w:p w:rsidR="0020630C" w:rsidRPr="0020630C" w:rsidP="0020630C" w14:paraId="03740482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20630C" w:rsidRPr="0020630C" w:rsidP="0020630C" w14:paraId="14DD913F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30C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284"/>
        <w:gridCol w:w="1843"/>
        <w:gridCol w:w="283"/>
        <w:gridCol w:w="2687"/>
      </w:tblGrid>
      <w:tr w14:paraId="632DCFAD" w14:textId="77777777" w:rsidTr="00196B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gridSpan w:val="5"/>
            <w:tcBorders>
              <w:bottom w:val="single" w:sz="4" w:space="0" w:color="auto"/>
            </w:tcBorders>
            <w:vAlign w:val="bottom"/>
          </w:tcPr>
          <w:p w:rsidR="0020630C" w:rsidRPr="0020630C" w:rsidP="0020630C" w14:paraId="1319E3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 Zemgales reģiona pārvaldes priekšniekam, Dobeles ielā 16, Jelgavā, LV-3001</w:t>
            </w: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DD88AAC" w14:textId="77777777" w:rsidTr="00196B90">
        <w:tblPrEx>
          <w:tblW w:w="0" w:type="auto"/>
          <w:tblLook w:val="04A0"/>
        </w:tblPrEx>
        <w:tc>
          <w:tcPr>
            <w:tcW w:w="9061" w:type="dxa"/>
            <w:gridSpan w:val="5"/>
            <w:tcBorders>
              <w:top w:val="single" w:sz="4" w:space="0" w:color="auto"/>
            </w:tcBorders>
          </w:tcPr>
          <w:p w:rsidR="0020630C" w:rsidRPr="0020630C" w:rsidP="0020630C" w14:paraId="6F8509DE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0630C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  <w:tr w14:paraId="6613B0E6" w14:textId="77777777" w:rsidTr="00196B90">
        <w:tblPrEx>
          <w:tblW w:w="0" w:type="auto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20630C" w:rsidRPr="0020630C" w:rsidP="0020630C" w14:paraId="574CE098" w14:textId="7777777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0C" w:rsidRPr="0020630C" w:rsidP="0020630C" w14:paraId="3B510794" w14:textId="7777777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 xml:space="preserve">VUGD ZRP Ugunsdrošības uzraudzības un civilās aizsardzības nodaļas inspektore, </w:t>
            </w: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virsleitnante</w:t>
            </w:r>
          </w:p>
        </w:tc>
        <w:tc>
          <w:tcPr>
            <w:tcW w:w="284" w:type="dxa"/>
            <w:vAlign w:val="bottom"/>
          </w:tcPr>
          <w:p w:rsidR="0020630C" w:rsidRPr="0020630C" w:rsidP="0020630C" w14:paraId="2E9C82DF" w14:textId="7777777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0630C" w:rsidRPr="0020630C" w:rsidP="0020630C" w14:paraId="45557124" w14:textId="7777777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0630C" w:rsidRPr="0020630C" w:rsidP="0020630C" w14:paraId="79E23A88" w14:textId="7777777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20630C" w:rsidRPr="0020630C" w:rsidP="0020630C" w14:paraId="76EC660B" w14:textId="77777777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24"/>
                <w:szCs w:val="24"/>
              </w:rPr>
              <w:t>D.Rudzāte</w:t>
            </w:r>
          </w:p>
        </w:tc>
      </w:tr>
      <w:tr w14:paraId="097D58D7" w14:textId="77777777" w:rsidTr="00196B90">
        <w:tblPrEx>
          <w:tblW w:w="0" w:type="auto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20630C" w:rsidRPr="0020630C" w:rsidP="0020630C" w14:paraId="1C765FF8" w14:textId="77777777">
            <w:pPr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20630C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(amatpersonas amats)</w:t>
            </w:r>
          </w:p>
        </w:tc>
        <w:tc>
          <w:tcPr>
            <w:tcW w:w="284" w:type="dxa"/>
          </w:tcPr>
          <w:p w:rsidR="0020630C" w:rsidRPr="0020630C" w:rsidP="0020630C" w14:paraId="044C5C9A" w14:textId="77777777">
            <w:pPr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630C" w:rsidRPr="0020630C" w:rsidP="0020630C" w14:paraId="00893992" w14:textId="77777777">
            <w:pPr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20630C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(paraksts)</w:t>
            </w:r>
          </w:p>
        </w:tc>
        <w:tc>
          <w:tcPr>
            <w:tcW w:w="283" w:type="dxa"/>
          </w:tcPr>
          <w:p w:rsidR="0020630C" w:rsidRPr="0020630C" w:rsidP="0020630C" w14:paraId="2B723D4E" w14:textId="77777777">
            <w:pPr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20630C" w:rsidRPr="0020630C" w:rsidP="0020630C" w14:paraId="58A693B4" w14:textId="77777777">
            <w:pPr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20630C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(v. uzvārds)</w:t>
            </w:r>
          </w:p>
        </w:tc>
      </w:tr>
    </w:tbl>
    <w:p w:rsidR="0020630C" w:rsidRPr="0020630C" w:rsidP="0020630C" w14:paraId="28C5F63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0630C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30058939" w14:textId="77777777" w:rsidTr="00196B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20630C" w:rsidRPr="0020630C" w:rsidP="0020630C" w14:paraId="4D845C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13.03.2025. elektroniski parakstīts dokuments nosūtīts uz e-pastu: elizabete.ozola@onplate.lv</w:t>
            </w:r>
          </w:p>
        </w:tc>
        <w:tc>
          <w:tcPr>
            <w:tcW w:w="284" w:type="dxa"/>
            <w:vAlign w:val="bottom"/>
          </w:tcPr>
          <w:p w:rsidR="0020630C" w:rsidRPr="0020630C" w:rsidP="0020630C" w14:paraId="69E13C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20630C" w:rsidRPr="0020630C" w:rsidP="0020630C" w14:paraId="00E018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E42F13" w14:textId="77777777" w:rsidTr="00196B90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20630C" w:rsidRPr="0020630C" w:rsidP="0020630C" w14:paraId="5F6E25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20630C" w:rsidRPr="0020630C" w:rsidP="0020630C" w14:paraId="1FA743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20630C" w:rsidRPr="0020630C" w:rsidP="0020630C" w14:paraId="6EDF41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C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62AE8" w:rsidRPr="00762AE8" w:rsidP="00762AE8" w14:paraId="3CC990D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3CC990D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</w:t>
      </w:r>
      <w:r w:rsidRPr="00762AE8">
        <w:rPr>
          <w:rFonts w:ascii="Times New Roman" w:hAnsi="Times New Roman" w:cs="Times New Roman"/>
          <w:sz w:val="24"/>
          <w:szCs w:val="24"/>
        </w:rPr>
        <w:t xml:space="preserve"> PARAKSTU UN SATUR</w:t>
      </w:r>
    </w:p>
    <w:p w:rsidR="00762AE8" w:rsidRPr="00762AE8" w:rsidP="00441E69" w14:paraId="3CC990D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CC990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CC990E5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CC990E7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CC990E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56777852"/>
      <w:docPartObj>
        <w:docPartGallery w:val="Page Numbers (Top of Page)"/>
        <w:docPartUnique/>
      </w:docPartObj>
    </w:sdtPr>
    <w:sdtContent>
      <w:p w:rsidR="00E227D8" w:rsidRPr="00762AE8" w14:paraId="3CC990E2" w14:textId="03CF3F3D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CC990E3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CC990E6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0630C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36844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2118"/>
    <w:rsid w:val="00CB3357"/>
    <w:rsid w:val="00D639C2"/>
    <w:rsid w:val="00DB3B2E"/>
    <w:rsid w:val="00E0387C"/>
    <w:rsid w:val="00E227D8"/>
    <w:rsid w:val="00E60393"/>
    <w:rsid w:val="00F62D4D"/>
    <w:rsid w:val="00F7419F"/>
    <w:rsid w:val="00F93E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C9905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table" w:customStyle="1" w:styleId="Reatabula1">
    <w:name w:val="Režģa tabula1"/>
    <w:basedOn w:val="TableNormal"/>
    <w:next w:val="TableGrid"/>
    <w:uiPriority w:val="39"/>
    <w:rsid w:val="00206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Dagmāra Rudzāte</cp:lastModifiedBy>
  <cp:revision>8</cp:revision>
  <dcterms:created xsi:type="dcterms:W3CDTF">2022-04-04T18:02:00Z</dcterms:created>
  <dcterms:modified xsi:type="dcterms:W3CDTF">2025-03-13T11:20:00Z</dcterms:modified>
</cp:coreProperties>
</file>