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295CEA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43FE73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62EFE9D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28265DF9" w14:textId="6A691F9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Valmiera</w:t>
            </w:r>
          </w:p>
        </w:tc>
      </w:tr>
    </w:tbl>
    <w:p w:rsidR="00BC67F6" w:rsidRPr="008A3DA7" w:rsidP="00BC67F6" w14:paraId="28EB4C94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304E28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5E59152" w14:textId="77777777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15.10.2024</w:t>
            </w:r>
          </w:p>
        </w:tc>
      </w:tr>
    </w:tbl>
    <w:p w:rsidR="00BC67F6" w:rsidRPr="008A3DA7" w:rsidP="00BC67F6" w14:paraId="5D73834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4AC6DF4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63FC7A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337F142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2D34F735" w14:textId="7718B4C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32D96A3C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7EDCCB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28D29CE3" w14:textId="0B2A76B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B2DC856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9CD5B5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636B0EA" w14:textId="09DB100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F4887A1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66B887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765E6B55" w14:textId="3402B4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392428" w:rsidRPr="00A25F58" w:rsidP="00A25F58" w14:paraId="3C87E6C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778A74A2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2602FC7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5B9B238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763AC0BC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9AE35B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5B4FF1F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5018E6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7C1F0AC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61B809B6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700ECB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9865BF0" w14:textId="353C06F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0281BACB" w14:textId="5AE44F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5E79E7D" w14:textId="03DA3BC5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6CF3B05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C5975F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3F0F5F52" w14:textId="6D56C7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Dina Līte-Zaķe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BC8977E" w14:textId="6633A8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9689A48" w14:textId="40D64B43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14.10.2024.</w:t>
                  </w:r>
                </w:p>
              </w:tc>
            </w:tr>
            <w:tr w14:paraId="628BB58D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BC1FB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3BE52EC1" w14:textId="7812132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623F68B2" w14:textId="76809D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5A0528D" w14:textId="3596807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33A90B2F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4C0C3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120F7712" w14:textId="687549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657BAF0" w14:textId="3F22D01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EAB7B61" w14:textId="69CA205A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CB1EB9" w:rsidRPr="008A3DA7" w:rsidP="00FB62DE" w14:paraId="771EE6D5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087B816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8A3DA7" w:rsidP="00535E6E" w14:paraId="21499FE4" w14:textId="32CC24CB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="00535E6E">
              <w:rPr>
                <w:bCs/>
                <w:sz w:val="24"/>
                <w:lang w:val="lv-LV"/>
              </w:rPr>
              <w:t xml:space="preserve"> novērtēšanā piedalījās nometnes vadītāja Sanita Briede</w:t>
            </w:r>
          </w:p>
        </w:tc>
      </w:tr>
      <w:tr w14:paraId="5DEF42EE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11ADD7B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40B5218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53887E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74C18FC3" w14:textId="2036A4F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Telpas ēkas 2. stāvā, SIA </w:t>
                  </w:r>
                  <w:r>
                    <w:rPr>
                      <w:bCs/>
                      <w:sz w:val="24"/>
                      <w:lang w:val="lv-LV"/>
                    </w:rPr>
                    <w:t>“MID-LAND”</w:t>
                  </w:r>
                  <w:r>
                    <w:rPr>
                      <w:bCs/>
                      <w:sz w:val="24"/>
                      <w:lang w:val="lv-LV"/>
                    </w:rPr>
                    <w:t xml:space="preserve"> piederošās telpās; noslēgts nomas līgums uz 3 gadiem</w:t>
                  </w:r>
                </w:p>
              </w:tc>
            </w:tr>
            <w:tr w14:paraId="15BB3D79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7FD505D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2A4E37B1" w14:textId="59567F1E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21.10-24.10.2024.</w:t>
                  </w:r>
                </w:p>
              </w:tc>
            </w:tr>
            <w:tr w14:paraId="56AA130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B31F8F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5728E370" w14:textId="46D0C0B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12</w:t>
                  </w:r>
                </w:p>
              </w:tc>
            </w:tr>
            <w:tr w14:paraId="2AC6F199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5A80CF7" w14:textId="649EAA6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  <w:r w:rsidR="00DB142D">
                    <w:rPr>
                      <w:bCs/>
                      <w:sz w:val="24"/>
                      <w:lang w:val="lv-LV"/>
                    </w:rPr>
                    <w:t>, gadi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2B064662" w14:textId="2C33F18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7-13</w:t>
                  </w:r>
                </w:p>
              </w:tc>
            </w:tr>
            <w:tr w14:paraId="5A42E8F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2D2F45D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0995FE21" w14:textId="04B83B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Nodarbību telpa, higiēnas telpa 2.stāvā</w:t>
                  </w:r>
                </w:p>
              </w:tc>
            </w:tr>
            <w:tr w14:paraId="1BAF763C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3F12A2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5EBA1EA" w14:textId="231B9AF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58637F" w:rsidP="00050FF3" w14:paraId="7EEEB642" w14:textId="4F4FD556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  <w:r w:rsidRPr="00DB142D" w:rsidR="00DB142D">
              <w:rPr>
                <w:sz w:val="24"/>
                <w:lang w:val="lv-LV"/>
              </w:rPr>
              <w:t>pieejama tualete ēkas 1. stāvā</w:t>
            </w:r>
            <w:r w:rsidR="00DB142D">
              <w:rPr>
                <w:sz w:val="24"/>
                <w:lang w:val="lv-LV"/>
              </w:rPr>
              <w:t xml:space="preserve"> , kur atrodas publiskas telpas (veikals, birojs</w:t>
            </w:r>
            <w:r w:rsidR="00050FF3">
              <w:rPr>
                <w:sz w:val="24"/>
                <w:lang w:val="lv-LV"/>
              </w:rPr>
              <w:t xml:space="preserve"> </w:t>
            </w:r>
            <w:r w:rsidR="00DB142D">
              <w:rPr>
                <w:sz w:val="24"/>
                <w:lang w:val="lv-LV"/>
              </w:rPr>
              <w:t>u.c.)</w:t>
            </w:r>
          </w:p>
          <w:p w:rsidR="00217EFF" w14:paraId="26D2F1C5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13A19A1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0591ECB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4A32A2EF" w14:textId="419388D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</w:t>
                  </w:r>
                </w:p>
              </w:tc>
            </w:tr>
            <w:tr w14:paraId="67593CE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39A15A7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7E178514" w14:textId="53F494A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14709CCE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5829F2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F211D5F" w14:textId="68F8165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</w:t>
                  </w:r>
                </w:p>
              </w:tc>
            </w:tr>
            <w:tr w14:paraId="57EA0176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3F3C55C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08B30C42" w14:textId="2F8500DD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54C32C8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474702A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A3CB082" w14:textId="4B4FD456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2AE66B75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67450E6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F4666E6" w14:textId="0155E39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7171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64B5428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18C69C93" w14:textId="5707D8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18945968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1911459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46A6857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7D5A41F9" w14:textId="6300711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0AA1EC5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00F38079" w14:textId="22FF29C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BD5AE6" w:rsidP="0037183B" w14:paraId="02D475AB" w14:textId="60CEDBE8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E01A7F" w:rsidR="00E01A7F">
              <w:rPr>
                <w:bCs/>
                <w:sz w:val="24"/>
                <w:lang w:val="lv-LV"/>
              </w:rPr>
              <w:t>siltais ūdens roku mazgātnēs tiek nodrošināts apkures periodā</w:t>
            </w:r>
          </w:p>
          <w:p w:rsidR="00BF5555" w:rsidP="0037183B" w14:paraId="2BB2CC22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2. Iekštelpu virsmu </w:t>
            </w:r>
            <w:r w:rsidRPr="00E92D79">
              <w:rPr>
                <w:b/>
                <w:sz w:val="24"/>
                <w:lang w:val="lv-LV"/>
              </w:rPr>
              <w:t>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A0FBF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54DF1E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1A44C75D" w14:textId="2CD3A57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3C9004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49EF5A5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E69C878" w14:textId="424CAF5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</w:t>
                  </w:r>
                  <w:r w:rsidR="00E01A7F">
                    <w:rPr>
                      <w:bCs/>
                      <w:sz w:val="24"/>
                      <w:lang w:val="lv-LV"/>
                    </w:rPr>
                    <w:t>ā</w:t>
                  </w:r>
                  <w:r>
                    <w:rPr>
                      <w:bCs/>
                      <w:sz w:val="24"/>
                      <w:lang w:val="lv-LV"/>
                    </w:rPr>
                    <w:t>/nē</w:t>
                  </w:r>
                </w:p>
              </w:tc>
            </w:tr>
            <w:tr w14:paraId="770B82F1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1D6DBD0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15F870C9" w14:textId="116CFA5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E92D79" w:rsidP="00BF5555" w14:paraId="3DD0E14C" w14:textId="0A8E169F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E01A7F" w:rsidR="00E01A7F">
              <w:rPr>
                <w:bCs/>
                <w:sz w:val="24"/>
                <w:lang w:val="lv-LV"/>
              </w:rPr>
              <w:t>koplietošanas telpās (kāpņu telpā, gaiteņos</w:t>
            </w:r>
            <w:r w:rsidR="00E01A7F">
              <w:rPr>
                <w:bCs/>
                <w:sz w:val="24"/>
                <w:lang w:val="lv-LV"/>
              </w:rPr>
              <w:t>, tualetēs</w:t>
            </w:r>
            <w:r w:rsidRPr="00E01A7F" w:rsidR="00E01A7F">
              <w:rPr>
                <w:bCs/>
                <w:sz w:val="24"/>
                <w:lang w:val="lv-LV"/>
              </w:rPr>
              <w:t>) nepieciešams</w:t>
            </w:r>
            <w:r w:rsidR="00E01A7F">
              <w:rPr>
                <w:bCs/>
                <w:sz w:val="24"/>
                <w:lang w:val="lv-LV"/>
              </w:rPr>
              <w:t xml:space="preserve"> kosmētisks</w:t>
            </w:r>
            <w:r w:rsidRPr="00E01A7F" w:rsidR="00E01A7F">
              <w:rPr>
                <w:bCs/>
                <w:sz w:val="24"/>
                <w:lang w:val="lv-LV"/>
              </w:rPr>
              <w:t xml:space="preserve"> remonts, telpas nolietotas</w:t>
            </w:r>
            <w:r w:rsidR="00EB70AD">
              <w:rPr>
                <w:bCs/>
                <w:sz w:val="24"/>
                <w:lang w:val="lv-LV"/>
              </w:rPr>
              <w:t xml:space="preserve">; 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nepieciešams izlīdzināt grīdas segumu 2. stāva kāpņu laukumā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,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EB70AD">
              <w:rPr>
                <w:bCs/>
                <w:sz w:val="24"/>
                <w:lang w:val="lv-LV"/>
              </w:rPr>
              <w:t>nodarbību telpa ar mīksto segumu</w:t>
            </w:r>
            <w:r>
              <w:rPr>
                <w:bCs/>
                <w:sz w:val="24"/>
                <w:lang w:val="lv-LV"/>
              </w:rPr>
              <w:t>, labiekārtota, mēbelēta ar bērnu vecumam un auguma īpatnībām piemērotām mēbelēm</w:t>
            </w:r>
          </w:p>
          <w:p w:rsidR="00635F9A" w:rsidP="00BF5555" w14:paraId="115FFD9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3. </w:t>
            </w:r>
            <w:r w:rsidRPr="00E92D79">
              <w:rPr>
                <w:b/>
                <w:sz w:val="24"/>
                <w:lang w:val="lv-LV"/>
              </w:rPr>
              <w:t>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0405205E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2A909A0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08717794" w14:textId="3B6143A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CD673F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3B7611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D143F8A" w14:textId="6C34828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CF072C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A2B949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F10242" w14:textId="1D1BB84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C4DD40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6F70C74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99364C" w14:textId="64B7B99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C67E1B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F68995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CFAE8B" w14:textId="54FC9B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60AEA2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584AED7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D83D839" w14:textId="60A34DD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055EF50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BC6E0F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17B25AE6" w14:textId="02A73C0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0EDD3E4F" w14:textId="5377A3EE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4C1BD9">
              <w:rPr>
                <w:bCs/>
                <w:sz w:val="24"/>
                <w:lang w:val="lv-LV"/>
              </w:rPr>
              <w:t xml:space="preserve"> nav</w:t>
            </w:r>
          </w:p>
          <w:p w:rsidR="00635F9A" w:rsidRPr="00474850" w:rsidP="00BF5555" w14:paraId="58AC202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DC26FAB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5E59A4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300793EB" w14:textId="3A319A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D6A0D8A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1742D00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7933A5BC" w14:textId="1BF020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2ED9E7D8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789644D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37DCDB68" w14:textId="6612C35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303B4" w:rsidP="00BF5555" w14:paraId="75C92F23" w14:textId="63946DB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  <w:r w:rsidRPr="00EB70AD" w:rsidR="00EB70AD">
              <w:rPr>
                <w:sz w:val="24"/>
                <w:lang w:val="lv-LV"/>
              </w:rPr>
              <w:t>nav</w:t>
            </w:r>
          </w:p>
          <w:p w:rsidR="00BF5555" w:rsidP="00BF5555" w14:paraId="4222473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21E8A032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381268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5413706" w14:textId="609B7E4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3BA22F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74566E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2E4FFF1" w14:textId="484886E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1D61F4A5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08C9B28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CD39E05" w14:textId="216CBB6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2B786C14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1F314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756E81DA" w14:textId="635DB2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303B4" w:rsidP="00BF5555" w14:paraId="1DC192D7" w14:textId="0F9FC2C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496585" w:rsidR="00496585">
              <w:rPr>
                <w:bCs/>
                <w:sz w:val="24"/>
                <w:lang w:val="lv-LV"/>
              </w:rPr>
              <w:t>sanitārās telpas ar atveramiem logiem un dabīgās ventilācijas kanāliem</w:t>
            </w:r>
          </w:p>
          <w:p w:rsidR="009E40BD" w:rsidP="00AA7975" w14:paraId="262B02B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4BDA42F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B1330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A2BC2BB" w14:textId="6143044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3266ED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F48F9E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Aukstā ūdens apgāde tiek nodrošināta no autonomās ūdensapgādes sistēmas (artēziskās vai </w:t>
                  </w:r>
                  <w:r w:rsidRPr="00E175D6">
                    <w:rPr>
                      <w:bCs/>
                      <w:sz w:val="24"/>
                      <w:lang w:val="lv-LV"/>
                    </w:rPr>
                    <w:t>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DA87892" w14:textId="6308366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40507D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347683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9305C0" w14:textId="56D396B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E08E9E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AF04C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FA16769" w14:textId="0E491D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4D02A21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7023D0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BECF868" w14:textId="5DF98C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975B16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791062C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AA6F1F" w14:textId="5A5E151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7140DB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5324B98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2ED5CF5" w14:textId="665C75B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74850" w:rsidP="00496585" w14:paraId="23346972" w14:textId="55278F8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B565CA" w:rsidR="00496585">
              <w:rPr>
                <w:sz w:val="24"/>
                <w:lang w:val="lv-LV"/>
              </w:rPr>
              <w:t>pieslēgums Smiltenes pilsētas ūdensapgādes sistēmai</w:t>
            </w:r>
            <w:r w:rsidRPr="0029774A">
              <w:rPr>
                <w:sz w:val="24"/>
                <w:lang w:val="lv-LV"/>
              </w:rPr>
              <w:t xml:space="preserve"> </w:t>
            </w:r>
          </w:p>
          <w:p w:rsidR="00D539DE" w:rsidRPr="0029774A" w:rsidP="00496585" w14:paraId="20C3BD37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</w:p>
          <w:p w:rsidR="00AA7975" w:rsidP="00AA7975" w14:paraId="2CBDED1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 xml:space="preserve">7. </w:t>
            </w:r>
            <w:r w:rsidRPr="0029774A">
              <w:rPr>
                <w:b/>
                <w:sz w:val="24"/>
                <w:lang w:val="lv-LV"/>
              </w:rPr>
              <w:t>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6618ED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0D3C76E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3AB1C17" w14:textId="0A9A82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93841D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57B100C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C77C11D" w14:textId="648ED5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297513C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5E419EF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167BE10B" w14:textId="56ADFCD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5A04ECA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0B84764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73BAA2D0" w14:textId="2B60A89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74850" w:rsidRPr="0029774A" w:rsidP="00AA7975" w14:paraId="24768481" w14:textId="609FABD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="00D539DE">
              <w:rPr>
                <w:bCs/>
                <w:sz w:val="24"/>
                <w:lang w:val="lv-LV"/>
              </w:rPr>
              <w:t>nav</w:t>
            </w:r>
          </w:p>
          <w:p w:rsidR="00AA7975" w:rsidP="00AA7975" w14:paraId="71C60B1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5A0B91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5A4ADC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29AC64B8" w14:textId="6923333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FFB128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11EA78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6B164251" w14:textId="45EC690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315A3C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E030E5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064B5557" w14:textId="4322664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5B10896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4038D3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5F159C0D" w14:textId="3ED1E8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072940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474C0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2E189756" w14:textId="67FBA03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270BC8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46A5F64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67E62044" w14:textId="3B3F176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3B96FF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39FD492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44EB58C6" w14:textId="7E71C30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74850" w:rsidP="00AA7975" w14:paraId="30B1A1AB" w14:textId="51B4521A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  <w:r w:rsidRPr="00916221" w:rsidR="003B0353">
              <w:rPr>
                <w:sz w:val="24"/>
                <w:lang w:val="lv-LV"/>
              </w:rPr>
              <w:t>ārpus telpām pasākumi paredzēti Smiltenes pilsētvidē</w:t>
            </w:r>
            <w:r w:rsidR="003B0353">
              <w:rPr>
                <w:sz w:val="24"/>
                <w:lang w:val="lv-LV"/>
              </w:rPr>
              <w:t>; ēkas iekšpagalms iežogots, ar bruģētu auto stāvlaukumu; ēka atrodas pie Smiltenes pilsētas centrālā laukuma</w:t>
            </w:r>
          </w:p>
          <w:p w:rsidR="00963EE1" w:rsidRPr="0029774A" w:rsidP="00AA7975" w14:paraId="2993F324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</w:p>
          <w:p w:rsidR="00AA7975" w:rsidRPr="009E356B" w:rsidP="00AA7975" w14:paraId="2BE373A3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232FFB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FD7F99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3B0353" w:rsidP="008F580C" w14:paraId="2B8F4411" w14:textId="645D27E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3B0353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929E6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988EA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4499BE64" w14:textId="2775C31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0A945C6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377CDD7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4C483E8C" w14:textId="1CFC084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3530DC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78AA73B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E266DE7" w14:textId="27B2C8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RPr="0029774A" w:rsidP="00AA7975" w14:paraId="43016452" w14:textId="5AFD66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Pr="00406FE6" w:rsidR="00406FE6">
              <w:rPr>
                <w:bCs/>
                <w:sz w:val="24"/>
                <w:lang w:val="lv-LV"/>
              </w:rPr>
              <w:t>nav</w:t>
            </w:r>
          </w:p>
          <w:p w:rsidR="00B35E81" w:rsidP="00A05C5D" w14:paraId="27727C5A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11EC062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E19450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5A79666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7E5A168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6D6BC616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3C7684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43F99071" w14:textId="1800897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8270EB3" w14:textId="2CCF4EF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6C04EB2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5A9B2AC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0DC43C8E" w14:textId="67A7937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3C53D287" w14:textId="281653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3BA5CF49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A97F1B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42208E16" w14:textId="22D2381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5F7B9F4" w14:textId="6D9C15E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B34BB" w:rsidP="00A05C5D" w14:paraId="630DF0EB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4CE4838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28E0599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1D8BC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32BB0CB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45E98B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7597B0B4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5762EC97" w14:textId="0E2FAFC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091B38CC" w14:textId="557359C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02CEAF1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C157D9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Dezinfekcijas līdzekļi tiek glabāti audzēkņiem </w:t>
                  </w:r>
                  <w:r w:rsidRPr="00963EE1">
                    <w:rPr>
                      <w:sz w:val="24"/>
                      <w:lang w:val="lv-LV"/>
                    </w:rPr>
                    <w:t>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0F7F22D5" w14:textId="56774D1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B68024C" w14:textId="62412EC6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BB50121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63DBE0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9B0A96E" w14:textId="39D474F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2960A55F" w14:textId="79AC4E7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45751B70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9F94419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AB66FB1" w14:textId="2698283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3E78F66" w14:textId="624C65E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0258931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8AA7A4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F226A95" w14:textId="364C4CFB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65FC013" w14:textId="27EE543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5A525584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B107CD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2919AD2" w14:textId="2832021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06ED57EA" w14:textId="7D21A12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A05C5D" w:rsidRPr="00B63D10" w:rsidP="00A05C5D" w14:paraId="23A79AEC" w14:textId="4A977CE4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  <w:r w:rsidRPr="00A67BD6" w:rsidR="00A67BD6">
              <w:rPr>
                <w:sz w:val="24"/>
                <w:lang w:val="lv-LV"/>
              </w:rPr>
              <w:t>nav</w:t>
            </w:r>
          </w:p>
          <w:p w:rsidR="00107697" w:rsidP="00A05C5D" w14:paraId="6FEF0DC6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p w:rsidR="00E00AB5" w:rsidRPr="00474850" w:rsidP="00A05C5D" w14:paraId="40F04E0E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50E2E5AA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3EE7881E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67BD6" w:rsidP="00537AA2" w14:paraId="14196633" w14:textId="77777777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 xml:space="preserve">2. stāva telpās </w:t>
            </w:r>
            <w:r>
              <w:rPr>
                <w:b/>
                <w:sz w:val="24"/>
                <w:lang w:val="lv-LV"/>
              </w:rPr>
              <w:t>Baznīcas laukumā 5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Smiltenē, Smiltenes</w:t>
            </w:r>
            <w:r w:rsidRPr="00025FAE">
              <w:rPr>
                <w:b/>
                <w:sz w:val="24"/>
                <w:lang w:val="lv-LV"/>
              </w:rPr>
              <w:t xml:space="preserve"> novadā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</w:t>
            </w:r>
            <w:r>
              <w:rPr>
                <w:b/>
                <w:bCs/>
                <w:sz w:val="24"/>
                <w:lang w:val="lv-LV"/>
              </w:rPr>
              <w:t>.</w:t>
            </w:r>
          </w:p>
          <w:p w:rsidR="008F580C" w:rsidRPr="00B97727" w:rsidP="00537AA2" w14:paraId="4C50C002" w14:textId="5279575D">
            <w:pPr>
              <w:jc w:val="both"/>
              <w:rPr>
                <w:b/>
                <w:bCs/>
                <w:sz w:val="24"/>
                <w:lang w:val="lv-LV"/>
              </w:rPr>
            </w:pPr>
            <w:r w:rsidRPr="00B97727">
              <w:rPr>
                <w:b/>
                <w:bCs/>
                <w:sz w:val="24"/>
                <w:lang w:val="lv-LV"/>
              </w:rPr>
              <w:t xml:space="preserve"> </w:t>
            </w:r>
          </w:p>
        </w:tc>
      </w:tr>
      <w:tr w14:paraId="5256580A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2B919BE7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0C16AB09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5CAC41FF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576CC9A6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0380C25F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A67BD6" w:rsidP="003B13F2" w14:paraId="1C355E35" w14:textId="25F2498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5. Koplietošanas telpās nepieciešams kosmētisks remonts, nepieciešams izlīdzināt grīdas segumu 2. stāva kāpņu laukumā. </w:t>
            </w:r>
          </w:p>
          <w:p w:rsidR="00107697" w:rsidP="003B13F2" w14:paraId="7DAD5A8C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7E77BB38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557C6BD8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03AF7365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2142331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3AD04A5C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73223D2A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AF57F6" w:rsidP="00AF57F6" w14:paraId="1276E3EE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:rsidR="00C37C29" w:rsidP="00AF57F6" w14:paraId="7CEAA255" w14:textId="7612DFCC">
                  <w:pPr>
                    <w:rPr>
                      <w:sz w:val="24"/>
                      <w:lang w:val="lv-LV"/>
                    </w:rPr>
                  </w:pPr>
                  <w:r w:rsidRPr="009919AA">
                    <w:rPr>
                      <w:sz w:val="24"/>
                      <w:lang w:val="lv-LV"/>
                    </w:rPr>
                    <w:t>Vidzemes kontroles nodaļas</w:t>
                  </w:r>
                  <w:r>
                    <w:rPr>
                      <w:sz w:val="24"/>
                      <w:lang w:val="lv-LV"/>
                    </w:rPr>
                    <w:t xml:space="preserve"> vides veselības analītiķe</w:t>
                  </w:r>
                </w:p>
              </w:tc>
              <w:tc>
                <w:tcPr>
                  <w:tcW w:w="3073" w:type="dxa"/>
                  <w:hideMark/>
                </w:tcPr>
                <w:p w:rsidR="00C37C29" w:rsidP="00C37C29" w14:paraId="5062A35E" w14:textId="5EE3BB54">
                  <w:pPr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Dina Līte-Zaķe</w:t>
                  </w:r>
                </w:p>
              </w:tc>
            </w:tr>
          </w:tbl>
          <w:p w:rsidR="00C37C29" w:rsidP="00C37C29" w14:paraId="0391634E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1317224E" w14:textId="77777777" w:rsidTr="00A841FF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C37C29" w:rsidP="00C37C29" w14:paraId="7B9B624D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Dina Līte-Zaķe</w:t>
                  </w:r>
                  <w:r>
                    <w:rPr>
                      <w:b w:val="0"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64281130</w:t>
                  </w:r>
                </w:p>
              </w:tc>
            </w:tr>
            <w:tr w14:paraId="026D95AF" w14:textId="77777777" w:rsidTr="00A841FF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C37C29" w:rsidP="00C37C29" w14:paraId="798BC766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dina.lite-zake@vi.gov.lv</w:t>
                  </w:r>
                </w:p>
              </w:tc>
            </w:tr>
          </w:tbl>
          <w:p w:rsidR="007F2704" w:rsidRPr="008E62F0" w:rsidP="003F4FB2" w14:paraId="4114175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63C18F86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5EBD0E9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5E6BF7C" w14:textId="77777777">
    <w:pPr>
      <w:pStyle w:val="Footer"/>
      <w:rPr>
        <w:sz w:val="20"/>
        <w:lang w:val="lv-LV"/>
      </w:rPr>
    </w:pPr>
  </w:p>
  <w:p w:rsidR="002E3FF9" w:rsidRPr="00E53C2B" w:rsidP="00961B65" w14:paraId="504CA3BB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4AB181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22C747C1" w14:textId="77777777">
    <w:pPr>
      <w:pStyle w:val="Footer"/>
      <w:rPr>
        <w:sz w:val="20"/>
        <w:lang w:val="lv-LV"/>
      </w:rPr>
    </w:pPr>
  </w:p>
  <w:p w:rsidR="002E3FF9" w:rsidRPr="00022614" w14:paraId="52186917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5F72A9C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4CE72D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5B7E4A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3ACAA97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14D458BA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7082275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1E1EB022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1A57C2B9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33D5F9CA" w14:textId="7777777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15.10.2024</w:t>
          </w:r>
        </w:p>
        <w:p w:rsidR="002E3FF9" w:rsidP="00C752CC" w14:paraId="32DC984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53CA596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2.4.8.-14/921</w:t>
          </w:r>
        </w:p>
      </w:tc>
    </w:tr>
  </w:tbl>
  <w:p w:rsidR="002E3FF9" w:rsidRPr="00783D52" w:rsidP="00633DAF" w14:paraId="315C93A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4799AE2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7086" w:rsidP="00DC7086" w14:paraId="6DBB26B8" w14:textId="77777777">
    <w:pPr>
      <w:jc w:val="center"/>
      <w:rPr>
        <w:bCs/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LV-1012; faktiskā adrese: </w:t>
    </w:r>
    <w:r>
      <w:rPr>
        <w:bCs/>
        <w:sz w:val="20"/>
        <w:szCs w:val="20"/>
        <w:lang w:val="lv-LV"/>
      </w:rPr>
      <w:t>Pāvila Rozīša iela 9, Valmiera, Valmieras novads, LV-4201</w:t>
    </w:r>
  </w:p>
  <w:p w:rsidR="002E3FF9" w:rsidP="00DC7086" w14:paraId="3FC95A27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szCs w:val="20"/>
        <w:lang w:val="lv-LV"/>
      </w:rPr>
      <w:t xml:space="preserve">tālrunis: 64281130, tālrunis/fakss: 64281752, e-pasts: vidzeme@vi.gov.lv, </w:t>
    </w:r>
    <w:hyperlink r:id="rId2" w:history="1">
      <w:r w:rsidRPr="00C76875" w:rsidR="00FD1773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FD1773" w:rsidRPr="00DC7086" w:rsidP="00DC7086" w14:paraId="2A946701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25FAE"/>
    <w:rsid w:val="00035D24"/>
    <w:rsid w:val="00042421"/>
    <w:rsid w:val="00042533"/>
    <w:rsid w:val="00043DA9"/>
    <w:rsid w:val="00044E16"/>
    <w:rsid w:val="00050FF3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4DBA"/>
    <w:rsid w:val="000E71BC"/>
    <w:rsid w:val="000E7743"/>
    <w:rsid w:val="000F668A"/>
    <w:rsid w:val="00103296"/>
    <w:rsid w:val="00104812"/>
    <w:rsid w:val="00106D19"/>
    <w:rsid w:val="00107697"/>
    <w:rsid w:val="00114A2B"/>
    <w:rsid w:val="00114CC6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A5D68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201915"/>
    <w:rsid w:val="00210CA1"/>
    <w:rsid w:val="00211C26"/>
    <w:rsid w:val="00217EFF"/>
    <w:rsid w:val="002213CB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0C84"/>
    <w:rsid w:val="003A5FA9"/>
    <w:rsid w:val="003B0353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06FE6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96585"/>
    <w:rsid w:val="004A0D44"/>
    <w:rsid w:val="004B1FAC"/>
    <w:rsid w:val="004B7410"/>
    <w:rsid w:val="004C144D"/>
    <w:rsid w:val="004C1BD9"/>
    <w:rsid w:val="004C2520"/>
    <w:rsid w:val="004C4FF2"/>
    <w:rsid w:val="004D63BF"/>
    <w:rsid w:val="004D76F7"/>
    <w:rsid w:val="004E3A26"/>
    <w:rsid w:val="005049C7"/>
    <w:rsid w:val="00535E6E"/>
    <w:rsid w:val="00537AA2"/>
    <w:rsid w:val="00540361"/>
    <w:rsid w:val="00543916"/>
    <w:rsid w:val="005514D8"/>
    <w:rsid w:val="00552816"/>
    <w:rsid w:val="00560950"/>
    <w:rsid w:val="00560DE8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C5BBE"/>
    <w:rsid w:val="007D4773"/>
    <w:rsid w:val="007F2704"/>
    <w:rsid w:val="007F526C"/>
    <w:rsid w:val="00810FA9"/>
    <w:rsid w:val="008179CE"/>
    <w:rsid w:val="00822BBD"/>
    <w:rsid w:val="0082557F"/>
    <w:rsid w:val="00826076"/>
    <w:rsid w:val="008355A6"/>
    <w:rsid w:val="00840480"/>
    <w:rsid w:val="00842E5D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03902"/>
    <w:rsid w:val="00911A26"/>
    <w:rsid w:val="00914F7A"/>
    <w:rsid w:val="00916221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919AA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A42"/>
    <w:rsid w:val="00A14E17"/>
    <w:rsid w:val="00A1539A"/>
    <w:rsid w:val="00A25F58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611CA"/>
    <w:rsid w:val="00A67BD6"/>
    <w:rsid w:val="00A7176E"/>
    <w:rsid w:val="00A71A45"/>
    <w:rsid w:val="00A731DE"/>
    <w:rsid w:val="00A7576E"/>
    <w:rsid w:val="00A81D88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57F6"/>
    <w:rsid w:val="00AF6968"/>
    <w:rsid w:val="00B02705"/>
    <w:rsid w:val="00B22CEB"/>
    <w:rsid w:val="00B35E81"/>
    <w:rsid w:val="00B404FC"/>
    <w:rsid w:val="00B43275"/>
    <w:rsid w:val="00B5223D"/>
    <w:rsid w:val="00B565CA"/>
    <w:rsid w:val="00B56932"/>
    <w:rsid w:val="00B63D10"/>
    <w:rsid w:val="00B82621"/>
    <w:rsid w:val="00B83A37"/>
    <w:rsid w:val="00B8534F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196D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76875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3796B"/>
    <w:rsid w:val="00D41D86"/>
    <w:rsid w:val="00D437BF"/>
    <w:rsid w:val="00D50034"/>
    <w:rsid w:val="00D539DE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142D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01A7F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B70AD"/>
    <w:rsid w:val="00EE70C4"/>
    <w:rsid w:val="00EF09E1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1773"/>
    <w:rsid w:val="00FD26CB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95214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FD1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956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15</cp:revision>
  <cp:lastPrinted>2024-02-08T06:54:00Z</cp:lastPrinted>
  <dcterms:created xsi:type="dcterms:W3CDTF">2024-10-15T05:39:00Z</dcterms:created>
  <dcterms:modified xsi:type="dcterms:W3CDTF">2024-10-15T06:22:00Z</dcterms:modified>
</cp:coreProperties>
</file>