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BB498B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BB498B4" w14:textId="77777777">
            <w:pPr>
              <w:jc w:val="center"/>
            </w:pPr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BB498B8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6BB498B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6BB498B7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6BB498B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6BB498B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BB498BA" w14:textId="03EF9B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BB498B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BB498BC" w14:textId="312C2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SIA “AUCH </w:t>
            </w:r>
            <w:r>
              <w:rPr>
                <w:rFonts w:ascii="Times New Roman" w:hAnsi="Times New Roman"/>
                <w:sz w:val="24"/>
                <w:szCs w:val="24"/>
              </w:rPr>
              <w:t>beauty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6BB498C1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6BB498B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B498B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BB498C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6BB498C5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BB498C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B498C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BB498C4" w14:textId="499383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Nr.40203419928</w:t>
            </w:r>
          </w:p>
        </w:tc>
      </w:tr>
      <w:tr w14:paraId="6BB498C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BB498C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B498C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3B17EF" w14:paraId="6BB498C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BB498C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6BB498C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B498C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62448" w14:paraId="6BB498CC" w14:textId="61E7A2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Artilērijas iela 8-50, Rīga, LV-1001</w:t>
            </w:r>
          </w:p>
        </w:tc>
      </w:tr>
      <w:tr w14:paraId="6BB498D1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6BB498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B498C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B498D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BB498D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BB498D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/161</w:t>
      </w:r>
    </w:p>
    <w:p w:rsidR="00C959F6" w:rsidP="00070E23" w14:paraId="6BB498D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BB498D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6BB498D8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B17D7A" w14:paraId="6BB498D7" w14:textId="19EA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2448">
              <w:rPr>
                <w:rFonts w:ascii="Times New Roman" w:hAnsi="Times New Roman" w:cs="Times New Roman"/>
                <w:sz w:val="24"/>
              </w:rPr>
              <w:t xml:space="preserve">studijas “AUCH” telpas (turpmāk – </w:t>
            </w:r>
            <w:r>
              <w:rPr>
                <w:rFonts w:ascii="Times New Roman" w:hAnsi="Times New Roman" w:cs="Times New Roman"/>
                <w:sz w:val="24"/>
              </w:rPr>
              <w:t>studija</w:t>
            </w:r>
            <w:r w:rsidR="00A62448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14:paraId="6BB498D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B498D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BB498D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BB498DE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6BB498DD" w14:textId="3FE9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Tirgoņu iela 24-5NT, Liepāja </w:t>
            </w:r>
            <w:r>
              <w:rPr>
                <w:rFonts w:ascii="Times New Roman" w:hAnsi="Times New Roman" w:cs="Times New Roman"/>
                <w:sz w:val="24"/>
              </w:rPr>
              <w:t>(turpmāk – Objekts).</w:t>
            </w:r>
          </w:p>
        </w:tc>
      </w:tr>
      <w:tr w14:paraId="6BB498E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6BB498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6BB498E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498E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62448" w14:paraId="6BB498E3" w14:textId="17A1F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2448">
              <w:rPr>
                <w:rFonts w:ascii="Times New Roman" w:hAnsi="Times New Roman" w:cs="Times New Roman"/>
                <w:sz w:val="24"/>
              </w:rPr>
              <w:t xml:space="preserve">Jeļena </w:t>
            </w:r>
            <w:r w:rsidR="00A62448">
              <w:rPr>
                <w:rFonts w:ascii="Times New Roman" w:hAnsi="Times New Roman" w:cs="Times New Roman"/>
                <w:sz w:val="24"/>
              </w:rPr>
              <w:t>Matrosova</w:t>
            </w:r>
            <w:r w:rsidR="00A6244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14:paraId="6BB498E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B498E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BB498E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BB498E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6BB498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BB498E9" w14:textId="3B25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Ventas iela 27, Liepāja, LV-3407.</w:t>
            </w:r>
          </w:p>
        </w:tc>
      </w:tr>
      <w:tr w14:paraId="6BB498ED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6BB498E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BB498E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numurs un adrese vai fiziskās personas adrese)</w:t>
            </w:r>
          </w:p>
        </w:tc>
      </w:tr>
      <w:tr w14:paraId="6BB498F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82CC3" w14:paraId="6BB498EF" w14:textId="6B795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2448">
              <w:rPr>
                <w:rFonts w:ascii="Times New Roman" w:hAnsi="Times New Roman" w:cs="Times New Roman"/>
                <w:sz w:val="24"/>
              </w:rPr>
              <w:t xml:space="preserve">nometņu vadītājas Ketija </w:t>
            </w:r>
            <w:r w:rsidR="00A62448">
              <w:rPr>
                <w:rFonts w:ascii="Times New Roman" w:hAnsi="Times New Roman" w:cs="Times New Roman"/>
                <w:sz w:val="24"/>
              </w:rPr>
              <w:t>Karlsones</w:t>
            </w:r>
            <w:r w:rsidR="00A62448">
              <w:rPr>
                <w:rFonts w:ascii="Times New Roman" w:hAnsi="Times New Roman" w:cs="Times New Roman"/>
                <w:sz w:val="24"/>
              </w:rPr>
              <w:t xml:space="preserve"> iesniegums</w:t>
            </w:r>
            <w:bookmarkStart w:id="0" w:name="_GoBack"/>
            <w:bookmarkEnd w:id="0"/>
            <w:r w:rsidR="00A62448">
              <w:rPr>
                <w:rFonts w:ascii="Times New Roman" w:hAnsi="Times New Roman" w:cs="Times New Roman"/>
                <w:sz w:val="24"/>
              </w:rPr>
              <w:t>, kas Valsts ugunsdzēsības un glābšanas dienestā reģistrēts ar Nr.22/12-1.4/487.</w:t>
            </w:r>
          </w:p>
        </w:tc>
      </w:tr>
      <w:tr w14:paraId="6BB498F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B498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E82CC3" w14:paraId="6BB498F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498F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82CC3" w14:paraId="6BB498F5" w14:textId="7D50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448">
              <w:rPr>
                <w:rFonts w:ascii="Times New Roman" w:hAnsi="Times New Roman" w:cs="Times New Roman"/>
                <w:sz w:val="24"/>
                <w:szCs w:val="24"/>
              </w:rPr>
              <w:t>studijas telpas atrodas Objekta 1.stāvā ar izeju zemes līmenī. Telpas nodrošinātas ar automātisko ugunsgrēka atklāšanas un trauksmes signalizācijas sistēmu un ugunsdzēsības aparātiem.</w:t>
            </w:r>
          </w:p>
        </w:tc>
      </w:tr>
      <w:tr w14:paraId="6BB498F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B498F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E82CC3" w14:paraId="6BB498F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498F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8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82CC3" w14:paraId="6BB498FB" w14:textId="18869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B5A2B4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283801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07999E4A" w14:textId="0D7D5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nav veikta elektroinstalācijas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(tai skaitā zemējuma) pārbaude, kā rezultātā ir pārkāpts </w:t>
            </w:r>
            <w:r w:rsidRPr="00CC2887">
              <w:rPr>
                <w:rFonts w:ascii="Times New Roman" w:hAnsi="Times New Roman"/>
                <w:sz w:val="24"/>
                <w:szCs w:val="24"/>
              </w:rPr>
              <w:t>Ministru kabine</w:t>
            </w:r>
            <w:r>
              <w:rPr>
                <w:rFonts w:ascii="Times New Roman" w:hAnsi="Times New Roman"/>
                <w:sz w:val="24"/>
                <w:szCs w:val="24"/>
              </w:rPr>
              <w:t>ta 2016.gada 19.aprīļa noteikumu</w:t>
            </w:r>
            <w:r w:rsidRPr="00CC2887">
              <w:rPr>
                <w:rFonts w:ascii="Times New Roman" w:hAnsi="Times New Roman"/>
                <w:sz w:val="24"/>
                <w:szCs w:val="24"/>
              </w:rPr>
              <w:t xml:space="preserve"> Nr.238 „Ugunsdrošības noteikumi” (turpmāk – Ugun</w:t>
            </w:r>
            <w:r>
              <w:rPr>
                <w:rFonts w:ascii="Times New Roman" w:hAnsi="Times New Roman"/>
                <w:sz w:val="24"/>
                <w:szCs w:val="24"/>
              </w:rPr>
              <w:t>sdrošības noteikumi) 56.punkts.</w:t>
            </w:r>
          </w:p>
        </w:tc>
      </w:tr>
      <w:tr w14:paraId="4DEFF3C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75DB27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73779730" w14:textId="5805A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nav veikta mehāniskās ventilācijas sistēmas tehnisk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 stāvokļa pārbaude un tīrīšana,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91.punkts.</w:t>
            </w:r>
          </w:p>
        </w:tc>
      </w:tr>
      <w:tr w14:paraId="2BFBB98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424E95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5BBAE54E" w14:textId="3B54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netiek uzglabāta automātiskās ugunsgrēka un trauksmes signalizācijas sistēmas (turpmāk – AUATSS) būvniecības ieceres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dokumentācija,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125.punkts.</w:t>
            </w:r>
          </w:p>
        </w:tc>
      </w:tr>
      <w:tr w14:paraId="48ED6D0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52C3BA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39E2B2AD" w14:textId="157C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pie AUATSS uztveršanas, kontroles un indikācijas iekārtas (turpmāk – panelis) netiek uzglabāta instrukcija, kurā norādīta Ugunsdrošības noteikumu 127.punktā, 180.4 un 180.7.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apakšpunktos minētā informācija,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125.1.apakšpunkts.</w:t>
            </w:r>
          </w:p>
        </w:tc>
      </w:tr>
      <w:tr w14:paraId="3C161E6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01E520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4E29FE85" w14:textId="062D3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pie AUATSS paneļa netiek uzglabāts AUATSS aizsargājamo telpu (zonu) saraksts vai grafisks aizsargājamo telpu (zonu) un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istēmas tīklu attēlojums telpās,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125.2.apakšpunkts.</w:t>
            </w:r>
          </w:p>
        </w:tc>
      </w:tr>
      <w:tr w14:paraId="25C9B3F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699C48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2B84EECB" w14:textId="70EC3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pie AUATSS paneļa netiek uzglabāts AUATSS iedarbošanās gadījumu un bojājumu uzskaites žurnāls (Uguns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drošības noteikumu 9.pielikums),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125.2.apakšpunkts.</w:t>
            </w:r>
          </w:p>
        </w:tc>
      </w:tr>
      <w:tr w14:paraId="2CE8464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00BC5A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54DFE886" w14:textId="51C8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Objekta atbildīgā persona nav nodrošinājusi personai, kura uzrauga AUTSS, ugunsdrošības instruktāžu par: AUATSS darbības principu un darbspējas noteikšanas kārtību, AUATSS ekspluatācijas nosacījumiem, AUATSS aizsargājamo telpu nosaukumiem un atrašanās vietām, rīcību gadījumā, ja no AUATSS pienāk trauksmes signāls par ugunsgrēka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zcelšanos vai sistēmas bojājumu,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127.punkts.</w:t>
            </w:r>
          </w:p>
        </w:tc>
      </w:tr>
      <w:tr w14:paraId="4525438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428D6E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46CD182D" w14:textId="3A74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Objekta atbildīgā persona nav nodrošinājusi AUATSS tehnisko apkopi un tehniskās apkopes kontroli (mutiski tikai skaidrots, ka pēdējā apkope veikta 04/2024, taču 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av veikta apkopes reģistrācija),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129.punkts.</w:t>
            </w:r>
          </w:p>
        </w:tc>
      </w:tr>
      <w:tr w14:paraId="7124214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62448" w14:paraId="1307DF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62448" w:rsidRPr="00E227D8" w:rsidP="00E82CC3" w14:paraId="3016AE29" w14:textId="46D4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esošā AUATSS manuālā tālvadības iedarbināšanas ierīce (trauksmes poga) nav nodrošināta ar paskaidrojošu uzrakstu valsts valodā un apzīmēta ar Ugunsdrošības noteikumu 4.6.zīmi “Ugunsaizsardzības sistēmas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manuālā iedarbināšanas ierīce”,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rezultātā ir pārkāpts </w:t>
            </w:r>
            <w:r>
              <w:rPr>
                <w:rFonts w:ascii="Times New Roman" w:hAnsi="Times New Roman"/>
                <w:sz w:val="24"/>
                <w:szCs w:val="24"/>
              </w:rPr>
              <w:t>Ugunsdrošības noteikumu 136.punkts.</w:t>
            </w:r>
          </w:p>
        </w:tc>
      </w:tr>
      <w:tr w14:paraId="6BB498FF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B498F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E82CC3" w14:paraId="6BB498FE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4990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9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82CC3" w14:paraId="6BB49901" w14:textId="56380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62448">
              <w:rPr>
                <w:rFonts w:ascii="Times New Roman" w:hAnsi="Times New Roman" w:cs="Times New Roman"/>
                <w:b/>
                <w:sz w:val="24"/>
              </w:rPr>
              <w:t>Objekts neatbilst ugunsdrošības prasībām.</w:t>
            </w:r>
          </w:p>
        </w:tc>
      </w:tr>
      <w:tr w14:paraId="6BB4990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B499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E82CC3" w14:paraId="6BB4990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4990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9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82CC3" w14:paraId="6BB49907" w14:textId="4686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0656" w:rsidR="00E82CC3">
              <w:rPr>
                <w:rFonts w:ascii="Times New Roman" w:hAnsi="Times New Roman" w:cs="Times New Roman"/>
                <w:sz w:val="24"/>
                <w:szCs w:val="24"/>
              </w:rPr>
              <w:t>Ministru kabineta 2009.gad</w:t>
            </w:r>
            <w:r w:rsidR="00E82CC3">
              <w:rPr>
                <w:rFonts w:ascii="Times New Roman" w:hAnsi="Times New Roman" w:cs="Times New Roman"/>
                <w:sz w:val="24"/>
                <w:szCs w:val="24"/>
              </w:rPr>
              <w:t>a 1.septembra noteikumu Nr.981 “</w:t>
            </w:r>
            <w:r w:rsidRPr="00C90656" w:rsidR="00E82CC3">
              <w:rPr>
                <w:rFonts w:ascii="Times New Roman" w:hAnsi="Times New Roman" w:cs="Times New Roman"/>
                <w:sz w:val="24"/>
                <w:szCs w:val="24"/>
              </w:rPr>
              <w:t xml:space="preserve">Bērnu nometņu organizēšanas un darbības kārtība” </w:t>
            </w:r>
            <w:r w:rsidR="00E82CC3">
              <w:rPr>
                <w:rFonts w:ascii="Times New Roman" w:hAnsi="Times New Roman" w:cs="Times New Roman"/>
                <w:sz w:val="24"/>
                <w:szCs w:val="24"/>
              </w:rPr>
              <w:t>8.5.apakšpunkta prasībām.</w:t>
            </w:r>
          </w:p>
        </w:tc>
      </w:tr>
      <w:tr w14:paraId="6BB4990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B4990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BB4990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BB4990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B499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BB4990D" w14:textId="0D18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64E8" w:rsidR="00E82CC3">
              <w:rPr>
                <w:rFonts w:ascii="Times New Roman" w:hAnsi="Times New Roman" w:cs="Times New Roman"/>
                <w:sz w:val="24"/>
                <w:szCs w:val="24"/>
              </w:rPr>
              <w:t>Valsts izglītības satura centrā.</w:t>
            </w:r>
          </w:p>
        </w:tc>
      </w:tr>
      <w:tr w14:paraId="6BB49911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B4990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6BB4991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3E7B32" w14:paraId="6BB4991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3E7B32" w14:paraId="6BB4991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3E7B32" w14:paraId="6BB49914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</w:t>
      </w:r>
      <w:r w:rsidRPr="007D2C05">
        <w:rPr>
          <w:rFonts w:ascii="Times New Roman" w:hAnsi="Times New Roman" w:cs="Times New Roman"/>
          <w:sz w:val="24"/>
          <w:szCs w:val="24"/>
        </w:rPr>
        <w:t>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BB4991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3B17EF" w14:paraId="6BB499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B4991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BB4991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BB4991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BB4991F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E82CC3" w14:paraId="6BB4991A" w14:textId="37A4F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Kurzemes reģiona </w:t>
            </w:r>
            <w:r>
              <w:rPr>
                <w:rFonts w:ascii="Times New Roman" w:hAnsi="Times New Roman"/>
                <w:sz w:val="24"/>
                <w:szCs w:val="24"/>
              </w:rPr>
              <w:t>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E82CC3" w14:paraId="6BB499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E82CC3" w14:paraId="6BB4991C" w14:textId="4F38D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E82CC3" w14:paraId="6BB499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82CC3" w14:paraId="6BB4991E" w14:textId="530D8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A.Finka</w:t>
            </w:r>
          </w:p>
        </w:tc>
      </w:tr>
      <w:tr w14:paraId="6BB4992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BB499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BB499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BB499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BB499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BB499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BB4992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BB4992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BB4992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E82CC3" w14:paraId="6BB49928" w14:textId="1767B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elektroniski.</w:t>
            </w:r>
          </w:p>
        </w:tc>
        <w:tc>
          <w:tcPr>
            <w:tcW w:w="284" w:type="dxa"/>
            <w:vAlign w:val="bottom"/>
          </w:tcPr>
          <w:p w:rsidR="007D2C05" w:rsidP="007D2C05" w14:paraId="6BB499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BB499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B4992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BB499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BB499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BB499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BB4993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BB4993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BB4993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6BB4993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BB49934" w14:textId="015326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 w:rsidR="00B17D7A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 w:rsidR="00B17D7A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6BB4993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BB499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BB4993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BB4993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BB499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55125803"/>
      <w:docPartObj>
        <w:docPartGallery w:val="Page Numbers (Top of Page)"/>
        <w:docPartUnique/>
      </w:docPartObj>
    </w:sdtPr>
    <w:sdtContent>
      <w:p w:rsidR="00E227D8" w:rsidRPr="00762AE8" w14:paraId="6BB49939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BB4993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BB4993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764E8"/>
    <w:rsid w:val="0015650A"/>
    <w:rsid w:val="00281811"/>
    <w:rsid w:val="002A02AD"/>
    <w:rsid w:val="003437F5"/>
    <w:rsid w:val="00346269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22FF0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2448"/>
    <w:rsid w:val="00A66FAF"/>
    <w:rsid w:val="00A9538D"/>
    <w:rsid w:val="00B00630"/>
    <w:rsid w:val="00B17D7A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0656"/>
    <w:rsid w:val="00C946FD"/>
    <w:rsid w:val="00C959F6"/>
    <w:rsid w:val="00CC2887"/>
    <w:rsid w:val="00D639C2"/>
    <w:rsid w:val="00DB3B2E"/>
    <w:rsid w:val="00DD6EF6"/>
    <w:rsid w:val="00E0387C"/>
    <w:rsid w:val="00E227D8"/>
    <w:rsid w:val="00E60393"/>
    <w:rsid w:val="00E82CC3"/>
    <w:rsid w:val="00F3463E"/>
    <w:rsid w:val="00F408A7"/>
    <w:rsid w:val="00FC4CBE"/>
  </w:rsids>
  <m:mathPr>
    <m:mathFont m:val="Cambria Math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B498B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Finka</cp:lastModifiedBy>
  <cp:revision>10</cp:revision>
  <dcterms:created xsi:type="dcterms:W3CDTF">2022-12-16T07:36:00Z</dcterms:created>
  <dcterms:modified xsi:type="dcterms:W3CDTF">2024-07-02T08:32:00Z</dcterms:modified>
</cp:coreProperties>
</file>