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:rsidTr="0012203A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122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“Liepājas Raiņa 6.vidusskolas atbalsta biedrība”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Nr.40008113856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iela 106, Liepāja, LV-3411</w:t>
            </w:r>
          </w:p>
        </w:tc>
      </w:tr>
      <w:tr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D45FF3" w:rsidRPr="00B42A8D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/150</w:t>
      </w:r>
    </w:p>
    <w:p w:rsidR="00C959F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160F">
              <w:rPr>
                <w:rFonts w:ascii="Times New Roman" w:hAnsi="Times New Roman" w:cs="Times New Roman"/>
                <w:sz w:val="24"/>
              </w:rPr>
              <w:t>Māteru Jura Kazdangas pamatskola (turpmāk – Objekts)</w:t>
            </w:r>
            <w:r w:rsidR="0012203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160F">
              <w:rPr>
                <w:rFonts w:ascii="Times New Roman" w:hAnsi="Times New Roman" w:cs="Times New Roman"/>
                <w:sz w:val="24"/>
              </w:rPr>
              <w:t xml:space="preserve">“Kazdangas pamatskola”, Kazdanga, Kazdangas pagasts, </w:t>
            </w:r>
            <w:r w:rsidR="00E8160F">
              <w:rPr>
                <w:rFonts w:ascii="Times New Roman" w:hAnsi="Times New Roman" w:cs="Times New Roman"/>
                <w:sz w:val="24"/>
              </w:rPr>
              <w:t>Dienvidkurzemes</w:t>
            </w:r>
            <w:r w:rsidR="00E8160F">
              <w:rPr>
                <w:rFonts w:ascii="Times New Roman" w:hAnsi="Times New Roman" w:cs="Times New Roman"/>
                <w:sz w:val="24"/>
              </w:rPr>
              <w:t xml:space="preserve"> novads, LV-3457</w:t>
            </w:r>
            <w:r w:rsidR="0012203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160F">
              <w:rPr>
                <w:rFonts w:ascii="Times New Roman" w:hAnsi="Times New Roman" w:cs="Times New Roman"/>
                <w:sz w:val="24"/>
              </w:rPr>
              <w:t>Dienvidkurzemes</w:t>
            </w:r>
            <w:r w:rsidR="00E8160F">
              <w:rPr>
                <w:rFonts w:ascii="Times New Roman" w:hAnsi="Times New Roman" w:cs="Times New Roman"/>
                <w:sz w:val="24"/>
              </w:rPr>
              <w:t xml:space="preserve"> novada pašvaldība, 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Nr.90000058625, Lielā iela 76, Grobiņa,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Dienvidkurzemes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novads, LV-3430</w:t>
            </w:r>
            <w:r w:rsidR="00122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numurs un adrese vai fiziskās personas adrese)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2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160F">
              <w:rPr>
                <w:rFonts w:ascii="Times New Roman" w:hAnsi="Times New Roman" w:cs="Times New Roman"/>
                <w:sz w:val="24"/>
              </w:rPr>
              <w:t>nometnes vadītājas Sintijas Strautiņas 2024.gada 27.maija iesniegums, kas Valsts ugunsdzēsības un glābšanas dienesta Kurzemes reģiona pārvaldē reģistrēts ar Nr</w:t>
            </w:r>
            <w:r w:rsidR="0012203A">
              <w:rPr>
                <w:rFonts w:ascii="Times New Roman" w:hAnsi="Times New Roman" w:cs="Times New Roman"/>
                <w:sz w:val="24"/>
              </w:rPr>
              <w:t>.22/12-1.4/369.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2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38D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0A64F5" w:rsidR="0012203A">
              <w:rPr>
                <w:rFonts w:ascii="Times New Roman" w:hAnsi="Times New Roman"/>
                <w:bCs/>
                <w:sz w:val="24"/>
                <w:szCs w:val="24"/>
              </w:rPr>
              <w:t>bjekts aprīkots ar automātisko ugunsgrēka</w:t>
            </w:r>
            <w:r w:rsidR="001220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64F5" w:rsidR="0012203A">
              <w:rPr>
                <w:rFonts w:ascii="Times New Roman" w:hAnsi="Times New Roman"/>
                <w:bCs/>
                <w:sz w:val="24"/>
                <w:szCs w:val="24"/>
              </w:rPr>
              <w:t>atklāšanas un trauksmes signalizācijas sistēmu, ugunsdzēsības ūdensvada krāniem un</w:t>
            </w:r>
            <w:r w:rsidR="001220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64F5" w:rsidR="0012203A">
              <w:rPr>
                <w:rFonts w:ascii="Times New Roman" w:hAnsi="Times New Roman"/>
                <w:bCs/>
                <w:sz w:val="24"/>
                <w:szCs w:val="24"/>
              </w:rPr>
              <w:t>pārnēsājamiem ugunsdzēsības aparātiem.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4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D45FF3" w:rsidRPr="00E227D8" w:rsidP="00D4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Objektā durvis, kas atdala kāpņu telpu no citas nozīmes telpas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(blakus zālei)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aprīkotas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pašaizveres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mehānismiem un noblīvētām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piedurlīstēm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kā rezultātā ir pārkāpts Ministru kabineta 2016.gada 19.aprīļa noteikumu Nr.238 “Ugunsdrošības noteikumi”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 xml:space="preserve">(turpmāk – Ugunsdrošības noteikumi)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5C738D" w:rsidRPr="00E227D8" w:rsidP="00D4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Objektā </w:t>
            </w:r>
            <w:r w:rsidRPr="00C13B10">
              <w:rPr>
                <w:rFonts w:ascii="Times New Roman" w:hAnsi="Times New Roman"/>
                <w:sz w:val="24"/>
                <w:szCs w:val="24"/>
              </w:rPr>
              <w:t>nav veikta cietā kurināmā apkures iekārtas, ierīces tehniskā stāvokļa pārbaude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retāk kā reizi piecos gados,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kā rezultātā ir pār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kāpts Ugunsdrošības noteikumu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.punkts.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5C738D" w:rsidRPr="00E227D8" w:rsidP="00D4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Objektā nav veikta dabiskās ventilācijas kanālu tīrīšana un tehniskā stāvokļa pārbaude, kā rezultātā ir pārkāpts Ugunsdrošības noteikumu 80.punkts.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45FF3">
              <w:rPr>
                <w:rFonts w:ascii="Times New Roman" w:hAnsi="Times New Roman" w:cs="Times New Roman"/>
                <w:b/>
                <w:sz w:val="24"/>
              </w:rPr>
              <w:t>Objekts neatbilst ugunsdrošības prasībām.</w:t>
            </w:r>
            <w:bookmarkStart w:id="0" w:name="_GoBack"/>
            <w:bookmarkEnd w:id="0"/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D4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27D8" w:rsidR="00D45FF3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D45F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48E7" w:rsidR="00D45FF3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</w:t>
            </w:r>
            <w:r w:rsidR="00D45F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48E7" w:rsidR="00D45FF3">
              <w:rPr>
                <w:rFonts w:ascii="Times New Roman" w:hAnsi="Times New Roman" w:cs="Times New Roman"/>
                <w:sz w:val="24"/>
                <w:szCs w:val="24"/>
              </w:rPr>
              <w:t>oteikumu</w:t>
            </w:r>
            <w:r w:rsidR="00D4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8E7" w:rsidR="00D45FF3">
              <w:rPr>
                <w:rFonts w:ascii="Times New Roman" w:hAnsi="Times New Roman" w:cs="Times New Roman"/>
                <w:sz w:val="24"/>
                <w:szCs w:val="24"/>
              </w:rPr>
              <w:t>Nr.981 „Bērnu nometņu organizēšanas kārtība” 8.5.apakšpunkta prasībām.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48E7" w:rsidR="00D45FF3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</w:t>
      </w:r>
      <w:r w:rsidRPr="007D2C05">
        <w:rPr>
          <w:rFonts w:ascii="Times New Roman" w:hAnsi="Times New Roman" w:cs="Times New Roman"/>
          <w:sz w:val="24"/>
          <w:szCs w:val="24"/>
        </w:rPr>
        <w:t>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D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D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D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I.Kārkliņa</w:t>
            </w:r>
          </w:p>
        </w:tc>
      </w:tr>
      <w:tr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 w:rsidR="006D5C74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 w:rsidR="006D5C74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25604137"/>
      <w:docPartObj>
        <w:docPartGallery w:val="Page Numbers (Top of Page)"/>
        <w:docPartUnique/>
      </w:docPartObj>
    </w:sdtPr>
    <w:sdtContent>
      <w:p w:rsidR="00E227D8" w:rsidRPr="00762AE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5FF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A64F5"/>
    <w:rsid w:val="0012203A"/>
    <w:rsid w:val="0015650A"/>
    <w:rsid w:val="00281811"/>
    <w:rsid w:val="002A02AD"/>
    <w:rsid w:val="003148E7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C738D"/>
    <w:rsid w:val="005D1C44"/>
    <w:rsid w:val="005D635A"/>
    <w:rsid w:val="00635786"/>
    <w:rsid w:val="0065049A"/>
    <w:rsid w:val="00673EB4"/>
    <w:rsid w:val="00682895"/>
    <w:rsid w:val="00697E43"/>
    <w:rsid w:val="006D5C74"/>
    <w:rsid w:val="00736BC1"/>
    <w:rsid w:val="00762AE8"/>
    <w:rsid w:val="007665C9"/>
    <w:rsid w:val="00794977"/>
    <w:rsid w:val="00794DFA"/>
    <w:rsid w:val="007A187F"/>
    <w:rsid w:val="007D2C05"/>
    <w:rsid w:val="008710E7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13B10"/>
    <w:rsid w:val="00C33E3A"/>
    <w:rsid w:val="00C51BBF"/>
    <w:rsid w:val="00C522E2"/>
    <w:rsid w:val="00C946FD"/>
    <w:rsid w:val="00C959F6"/>
    <w:rsid w:val="00D45FF3"/>
    <w:rsid w:val="00D639C2"/>
    <w:rsid w:val="00DB3B2E"/>
    <w:rsid w:val="00DD6EF6"/>
    <w:rsid w:val="00E0387C"/>
    <w:rsid w:val="00E227D8"/>
    <w:rsid w:val="00E60393"/>
    <w:rsid w:val="00E8160F"/>
    <w:rsid w:val="00EB4845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4AF6B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Ieva Kārkliņa</cp:lastModifiedBy>
  <cp:revision>10</cp:revision>
  <dcterms:created xsi:type="dcterms:W3CDTF">2022-12-16T07:36:00Z</dcterms:created>
  <dcterms:modified xsi:type="dcterms:W3CDTF">2024-06-25T10:22:00Z</dcterms:modified>
</cp:coreProperties>
</file>