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6647C6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51DF163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46BFFD2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080519EB" w14:textId="2A36310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4E5F7E29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4CEE7B8A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077BF30" w14:textId="77777777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03.06.2024</w:t>
            </w:r>
          </w:p>
        </w:tc>
      </w:tr>
    </w:tbl>
    <w:p w:rsidR="00BC67F6" w:rsidRPr="008A3DA7" w:rsidP="00BC67F6" w14:paraId="7406349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846CA75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F58FB8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2D1BC44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1D454F0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331F605C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159746F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789F8E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8E3CEE5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5C06F1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527335C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8106033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684DD5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722D1F22" w14:textId="29F3E68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8A3DA7" w:rsidP="002D1636" w14:paraId="37476051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47C8494B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A959B4" w:rsidP="00FB62DE" w14:paraId="5ED1CBD6" w14:textId="77777777">
            <w:pPr>
              <w:overflowPunct/>
              <w:autoSpaceDE/>
              <w:adjustRightInd/>
              <w:ind w:right="6"/>
              <w:jc w:val="both"/>
              <w:rPr>
                <w:sz w:val="20"/>
                <w:szCs w:val="20"/>
                <w:lang w:val="lv-LV"/>
              </w:rPr>
            </w:pPr>
          </w:p>
          <w:p w:rsidR="005D22EB" w:rsidRPr="008A3DA7" w:rsidP="00FB62DE" w14:paraId="3185A8B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3A9C470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FA60B0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5002259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7D69237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5817D1E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03E8EF81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72E1BCA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5910175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95BF3A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379FAE27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01AA5994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1A38D97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11FB8D83" w14:textId="599D9BA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Līga Ābolkalna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7A70A7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EE6A73B" w14:textId="22203068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21.05.2024</w:t>
                  </w:r>
                </w:p>
              </w:tc>
            </w:tr>
            <w:tr w14:paraId="17AB7E3C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7F3B3FC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1F09C9C6" w14:textId="0EBB4A0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Lija Skranda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BC6C17" w14:paraId="558E7D48" w14:textId="180E8C9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BC6C17">
                    <w:rPr>
                      <w:sz w:val="24"/>
                      <w:lang w:val="lv-LV"/>
                    </w:rPr>
                    <w:t>00224124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56691084" w14:textId="241BF05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16.05.2024</w:t>
                  </w:r>
                </w:p>
              </w:tc>
            </w:tr>
            <w:tr w14:paraId="03EEC469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91674F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5D916E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F3A0E3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14089AE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79F1AEB5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D0281C4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963EE1" w:rsidRPr="00965BEE" w:rsidP="00963EE1" w14:paraId="69B09FAE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CB1EB9" w:rsidRPr="008A3DA7" w:rsidP="00BC6C17" w14:paraId="445932E6" w14:textId="439C72F1">
            <w:pPr>
              <w:overflowPunct/>
              <w:autoSpaceDE/>
              <w:adjustRightInd/>
              <w:spacing w:after="80"/>
              <w:ind w:right="6"/>
              <w:jc w:val="both"/>
              <w:rPr>
                <w:sz w:val="24"/>
                <w:lang w:val="lv-LV"/>
              </w:rPr>
            </w:pPr>
            <w:r w:rsidRPr="00325B1F">
              <w:rPr>
                <w:sz w:val="24"/>
                <w:lang w:val="lv-LV"/>
              </w:rPr>
              <w:t xml:space="preserve">   </w:t>
            </w:r>
            <w:r w:rsidR="00BC6C17">
              <w:rPr>
                <w:sz w:val="24"/>
                <w:lang w:val="lv-LV"/>
              </w:rPr>
              <w:t>SIA</w:t>
            </w:r>
            <w:r w:rsidRPr="00325B1F">
              <w:rPr>
                <w:sz w:val="24"/>
                <w:lang w:val="lv-LV"/>
              </w:rPr>
              <w:t xml:space="preserve"> “</w:t>
            </w:r>
            <w:r w:rsidR="00BC6C17">
              <w:rPr>
                <w:sz w:val="24"/>
                <w:lang w:val="lv-LV"/>
              </w:rPr>
              <w:t>Solzi</w:t>
            </w:r>
            <w:r w:rsidRPr="00325B1F">
              <w:rPr>
                <w:sz w:val="24"/>
                <w:lang w:val="lv-LV"/>
              </w:rPr>
              <w:t>” plāno organizēt diennakts bērnu nometn</w:t>
            </w:r>
            <w:r w:rsidR="00BC6C17">
              <w:rPr>
                <w:sz w:val="24"/>
                <w:lang w:val="lv-LV"/>
              </w:rPr>
              <w:t>es</w:t>
            </w:r>
            <w:r w:rsidRPr="00325B1F">
              <w:rPr>
                <w:sz w:val="24"/>
                <w:lang w:val="lv-LV"/>
              </w:rPr>
              <w:t xml:space="preserve"> “</w:t>
            </w:r>
            <w:r w:rsidR="00BC6C17">
              <w:rPr>
                <w:sz w:val="24"/>
                <w:lang w:val="lv-LV"/>
              </w:rPr>
              <w:t>Zīļuks</w:t>
            </w:r>
            <w:r w:rsidRPr="00325B1F">
              <w:rPr>
                <w:sz w:val="24"/>
                <w:lang w:val="lv-LV"/>
              </w:rPr>
              <w:t>”</w:t>
            </w:r>
            <w:r w:rsidR="00BC6C17">
              <w:rPr>
                <w:sz w:val="24"/>
                <w:lang w:val="lv-LV"/>
              </w:rPr>
              <w:t>, “Kolibri”</w:t>
            </w:r>
            <w:r w:rsidRPr="00325B1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Irlavas sporta nama</w:t>
            </w:r>
            <w:r w:rsidR="00BC6C17">
              <w:rPr>
                <w:sz w:val="24"/>
                <w:lang w:val="lv-LV"/>
              </w:rPr>
              <w:t xml:space="preserve"> un Irlavas pamatskolas</w:t>
            </w:r>
            <w:r w:rsidRPr="00325B1F">
              <w:rPr>
                <w:sz w:val="24"/>
                <w:lang w:val="lv-LV"/>
              </w:rPr>
              <w:t xml:space="preserve"> telpās un teritorijā. Novērtēšanā piedalījās </w:t>
            </w:r>
            <w:r>
              <w:rPr>
                <w:sz w:val="24"/>
                <w:lang w:val="lv-LV"/>
              </w:rPr>
              <w:t>Irlavas sporta nama vadītājs Andis Švāns</w:t>
            </w:r>
            <w:r w:rsidRPr="00325B1F">
              <w:rPr>
                <w:sz w:val="24"/>
                <w:lang w:val="lv-LV"/>
              </w:rPr>
              <w:t>.</w:t>
            </w:r>
            <w:r w:rsidR="00BC6C17">
              <w:rPr>
                <w:sz w:val="24"/>
                <w:lang w:val="lv-LV"/>
              </w:rPr>
              <w:t xml:space="preserve"> Irlavas pamatskolas kontrolē piedalījās iestādes vadītāja </w:t>
            </w:r>
            <w:r w:rsidRPr="00BC6C17" w:rsidR="00BC6C17">
              <w:rPr>
                <w:sz w:val="24"/>
                <w:lang w:val="lv-LV"/>
              </w:rPr>
              <w:t>Aiva Platace</w:t>
            </w:r>
            <w:r w:rsidR="00BC6C17">
              <w:rPr>
                <w:sz w:val="24"/>
                <w:lang w:val="lv-LV"/>
              </w:rPr>
              <w:t>.</w:t>
            </w:r>
          </w:p>
        </w:tc>
      </w:tr>
      <w:tr w14:paraId="493EB98E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5438F85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7"/>
              <w:gridCol w:w="4274"/>
            </w:tblGrid>
            <w:tr w14:paraId="29883185" w14:textId="77777777" w:rsidTr="00BC6C17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289D28E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4" w:type="dxa"/>
                </w:tcPr>
                <w:p w:rsidR="0076430E" w:rsidP="00271B5F" w14:paraId="6419304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Irlavas sporta nams, </w:t>
                  </w:r>
                  <w:r w:rsidRPr="008F141D">
                    <w:rPr>
                      <w:bCs/>
                      <w:sz w:val="24"/>
                      <w:lang w:val="lv-LV"/>
                    </w:rPr>
                    <w:t>Sporta iela 1, Irlava, Irlavas pagasts, Tukuma novads</w:t>
                  </w:r>
                </w:p>
                <w:p w:rsidR="00BC6C17" w:rsidRPr="008E45F8" w:rsidP="00BC6C17" w14:paraId="30362DCF" w14:textId="7BE31E8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Irlavas pamatskola, “</w:t>
                  </w:r>
                  <w:r w:rsidRPr="00BC6C17">
                    <w:rPr>
                      <w:bCs/>
                      <w:sz w:val="24"/>
                      <w:lang w:val="lv-LV"/>
                    </w:rPr>
                    <w:t>Irlavas skola</w:t>
                  </w:r>
                  <w:r>
                    <w:rPr>
                      <w:bCs/>
                      <w:sz w:val="24"/>
                      <w:lang w:val="lv-LV"/>
                    </w:rPr>
                    <w:t>”</w:t>
                  </w:r>
                  <w:r w:rsidRPr="00BC6C17">
                    <w:rPr>
                      <w:bCs/>
                      <w:sz w:val="24"/>
                      <w:lang w:val="lv-LV"/>
                    </w:rPr>
                    <w:t>, Irlava, Irlavas pag</w:t>
                  </w:r>
                  <w:r>
                    <w:rPr>
                      <w:bCs/>
                      <w:sz w:val="24"/>
                      <w:lang w:val="lv-LV"/>
                    </w:rPr>
                    <w:t>asts</w:t>
                  </w:r>
                  <w:r w:rsidRPr="00BC6C17">
                    <w:rPr>
                      <w:bCs/>
                      <w:sz w:val="24"/>
                      <w:lang w:val="lv-LV"/>
                    </w:rPr>
                    <w:t>, Tukuma nov</w:t>
                  </w:r>
                  <w:r>
                    <w:rPr>
                      <w:bCs/>
                      <w:sz w:val="24"/>
                      <w:lang w:val="lv-LV"/>
                    </w:rPr>
                    <w:t>ads</w:t>
                  </w:r>
                </w:p>
              </w:tc>
            </w:tr>
            <w:tr w14:paraId="1AECE228" w14:textId="77777777" w:rsidTr="00BC6C17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1E30BE" w:rsidP="0037183B" w14:paraId="68E0948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4" w:type="dxa"/>
                </w:tcPr>
                <w:p w:rsidR="00E06DA0" w:rsidP="00E06DA0" w14:paraId="0ADC72D8" w14:textId="7A12C696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28.06.2024. – 05.07.2024., 13.07.2024. – 20.07.2024.,</w:t>
                  </w:r>
                  <w:r w:rsidR="009C598C">
                    <w:rPr>
                      <w:bCs/>
                      <w:sz w:val="24"/>
                      <w:lang w:val="lv-LV"/>
                    </w:rPr>
                    <w:t xml:space="preserve"> </w:t>
                  </w:r>
                  <w:r>
                    <w:rPr>
                      <w:bCs/>
                      <w:sz w:val="24"/>
                      <w:lang w:val="lv-LV"/>
                    </w:rPr>
                    <w:t>27.07.2024. – 02.08.2024.,</w:t>
                  </w:r>
                </w:p>
                <w:p w:rsidR="00E06DA0" w:rsidRPr="00963EE1" w:rsidP="00E06DA0" w14:paraId="0AAFF23E" w14:textId="6DC3D61B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17.08.2024. – 23.08.2024.</w:t>
                  </w:r>
                </w:p>
              </w:tc>
            </w:tr>
            <w:tr w14:paraId="28CD53C9" w14:textId="77777777" w:rsidTr="00BC6C17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0CACE3C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4" w:type="dxa"/>
                </w:tcPr>
                <w:p w:rsidR="00474850" w:rsidRPr="008E45F8" w:rsidP="0037183B" w14:paraId="5FAA7167" w14:textId="1C80920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60</w:t>
                  </w:r>
                </w:p>
              </w:tc>
            </w:tr>
            <w:tr w14:paraId="51232432" w14:textId="77777777" w:rsidTr="00BC6C17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681417E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4" w:type="dxa"/>
                </w:tcPr>
                <w:p w:rsidR="00474850" w:rsidRPr="008E45F8" w:rsidP="0037183B" w14:paraId="65E65A4D" w14:textId="7F40FEC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305415">
                    <w:rPr>
                      <w:bCs/>
                      <w:sz w:val="24"/>
                      <w:lang w:val="lv-LV"/>
                    </w:rPr>
                    <w:t>5</w:t>
                  </w:r>
                  <w:r>
                    <w:rPr>
                      <w:bCs/>
                      <w:sz w:val="24"/>
                      <w:lang w:val="lv-LV"/>
                    </w:rPr>
                    <w:t xml:space="preserve"> līdz 1</w:t>
                  </w:r>
                  <w:r w:rsidR="00BA71B2">
                    <w:rPr>
                      <w:bCs/>
                      <w:sz w:val="24"/>
                      <w:lang w:val="lv-LV"/>
                    </w:rPr>
                    <w:t>6</w:t>
                  </w:r>
                  <w:r>
                    <w:rPr>
                      <w:bCs/>
                      <w:sz w:val="24"/>
                      <w:lang w:val="lv-LV"/>
                    </w:rPr>
                    <w:t xml:space="preserve"> gadiem</w:t>
                  </w:r>
                </w:p>
              </w:tc>
            </w:tr>
            <w:tr w14:paraId="08934F99" w14:textId="77777777" w:rsidTr="00BC6C17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4C30856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4" w:type="dxa"/>
                </w:tcPr>
                <w:p w:rsidR="00474850" w:rsidRPr="008E45F8" w:rsidP="0037183B" w14:paraId="7C7AA831" w14:textId="4F074B9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Irlavas sporta nama zāle, tribīnes, ģērbtuves, konferenču zāle, sanitārās telpas, gaiteņi, </w:t>
                  </w:r>
                  <w:r w:rsidRPr="00D45273">
                    <w:rPr>
                      <w:bCs/>
                      <w:sz w:val="24"/>
                      <w:lang w:val="lv-LV"/>
                    </w:rPr>
                    <w:t>Irlavas pamatskola</w:t>
                  </w:r>
                  <w:r>
                    <w:rPr>
                      <w:bCs/>
                      <w:sz w:val="24"/>
                      <w:lang w:val="lv-LV"/>
                    </w:rPr>
                    <w:t>s</w:t>
                  </w:r>
                  <w:r w:rsidR="00A959B4">
                    <w:rPr>
                      <w:bCs/>
                      <w:sz w:val="24"/>
                      <w:lang w:val="lv-LV"/>
                    </w:rPr>
                    <w:t xml:space="preserve"> klašu telpas, aktu zāle, </w:t>
                  </w:r>
                  <w:r w:rsidR="002E4342">
                    <w:rPr>
                      <w:bCs/>
                      <w:sz w:val="24"/>
                      <w:lang w:val="lv-LV"/>
                    </w:rPr>
                    <w:t>ēdnīca</w:t>
                  </w:r>
                  <w:r w:rsidR="00A959B4">
                    <w:rPr>
                      <w:bCs/>
                      <w:sz w:val="24"/>
                      <w:lang w:val="lv-LV"/>
                    </w:rPr>
                    <w:t>, sanitārās telpas</w:t>
                  </w:r>
                </w:p>
              </w:tc>
            </w:tr>
            <w:tr w14:paraId="7E994736" w14:textId="77777777" w:rsidTr="00BC6C17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1661545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4" w:type="dxa"/>
                </w:tcPr>
                <w:p w:rsidR="00474850" w:rsidP="0037183B" w14:paraId="6E9AD0F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Irlavas sporta nama konferenču zālē var izvietot </w:t>
                  </w:r>
                  <w:r w:rsidR="00325B1F">
                    <w:rPr>
                      <w:bCs/>
                      <w:sz w:val="24"/>
                      <w:lang w:val="lv-LV"/>
                    </w:rPr>
                    <w:t>divdesmit</w:t>
                  </w:r>
                  <w:r>
                    <w:rPr>
                      <w:bCs/>
                      <w:sz w:val="24"/>
                      <w:lang w:val="lv-LV"/>
                    </w:rPr>
                    <w:t xml:space="preserve"> saliekamās gultas un tribīnēs </w:t>
                  </w:r>
                  <w:r w:rsidR="00325B1F">
                    <w:rPr>
                      <w:bCs/>
                      <w:sz w:val="24"/>
                      <w:lang w:val="lv-LV"/>
                    </w:rPr>
                    <w:t>divdesmit</w:t>
                  </w:r>
                  <w:r>
                    <w:rPr>
                      <w:bCs/>
                      <w:sz w:val="24"/>
                      <w:lang w:val="lv-LV"/>
                    </w:rPr>
                    <w:t xml:space="preserve"> matračus</w:t>
                  </w:r>
                  <w:r w:rsidR="00A959B4">
                    <w:rPr>
                      <w:bCs/>
                      <w:sz w:val="24"/>
                      <w:lang w:val="lv-LV"/>
                    </w:rPr>
                    <w:t xml:space="preserve">; </w:t>
                  </w:r>
                </w:p>
                <w:p w:rsidR="00A959B4" w:rsidRPr="008E45F8" w:rsidP="0037183B" w14:paraId="2EEE149B" w14:textId="6D25A73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Irlavas pamatskolas </w:t>
                  </w:r>
                  <w:r w:rsidRPr="00A959B4">
                    <w:rPr>
                      <w:bCs/>
                      <w:sz w:val="24"/>
                      <w:lang w:val="lv-LV"/>
                    </w:rPr>
                    <w:t>mācību telpas tiek pielāgotas par guļamtelpām</w:t>
                  </w:r>
                  <w:r>
                    <w:rPr>
                      <w:bCs/>
                      <w:sz w:val="24"/>
                      <w:lang w:val="lv-LV"/>
                    </w:rPr>
                    <w:t>.</w:t>
                  </w:r>
                </w:p>
              </w:tc>
            </w:tr>
          </w:tbl>
          <w:p w:rsidR="009C598C" w:rsidRPr="00ED1FD7" w:rsidP="00B3114A" w14:paraId="2AC77545" w14:textId="77777777">
            <w:pPr>
              <w:spacing w:after="120"/>
              <w:jc w:val="both"/>
              <w:rPr>
                <w:sz w:val="20"/>
                <w:szCs w:val="20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0BD7E10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7BBE6E5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539B6754" w14:textId="653BAE4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13</w:t>
                  </w:r>
                  <w:r w:rsidR="00D45273">
                    <w:rPr>
                      <w:bCs/>
                      <w:sz w:val="24"/>
                      <w:lang w:val="lv-LV"/>
                    </w:rPr>
                    <w:t xml:space="preserve"> un </w:t>
                  </w:r>
                  <w:r>
                    <w:rPr>
                      <w:bCs/>
                      <w:sz w:val="24"/>
                      <w:lang w:val="lv-LV"/>
                    </w:rPr>
                    <w:t>3</w:t>
                  </w:r>
                  <w:r w:rsidR="00D45273">
                    <w:rPr>
                      <w:bCs/>
                      <w:sz w:val="24"/>
                      <w:lang w:val="lv-LV"/>
                    </w:rPr>
                    <w:t xml:space="preserve"> pisuār</w:t>
                  </w:r>
                  <w:r>
                    <w:rPr>
                      <w:bCs/>
                      <w:sz w:val="24"/>
                      <w:lang w:val="lv-LV"/>
                    </w:rPr>
                    <w:t>i</w:t>
                  </w:r>
                </w:p>
              </w:tc>
            </w:tr>
            <w:tr w14:paraId="3F6C6BD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73E179E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2C0E6604" w14:textId="57D507C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13</w:t>
                  </w:r>
                </w:p>
              </w:tc>
            </w:tr>
            <w:tr w14:paraId="3DDDC013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3D72D0E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78C52307" w14:textId="6D65053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</w:t>
                  </w:r>
                  <w:r w:rsidR="00207578">
                    <w:rPr>
                      <w:bCs/>
                      <w:sz w:val="24"/>
                      <w:lang w:val="lv-LV"/>
                    </w:rPr>
                    <w:t>9</w:t>
                  </w:r>
                </w:p>
              </w:tc>
            </w:tr>
            <w:tr w14:paraId="51CDC053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7F1E6E8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4D83BBF0" w14:textId="427E0833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42DB48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5D581DB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187824EF" w14:textId="336249BD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8E679B3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787442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1F36EB1D" w14:textId="71FB6C3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42E126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5CD78A6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53E5DBCC" w14:textId="3D50828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0D3EA6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6684C57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0E98747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09B809D1" w14:textId="5978F8D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745D4694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396989B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067E42" w:rsidRPr="008E45F8" w:rsidP="0037183B" w14:paraId="7CD40D23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D5AE6" w:rsidRPr="00FE5DB2" w:rsidP="00FE5DB2" w14:paraId="6A4C7668" w14:textId="11D35E9E">
            <w:pPr>
              <w:tabs>
                <w:tab w:val="left" w:pos="993"/>
              </w:tabs>
              <w:spacing w:after="120"/>
              <w:jc w:val="both"/>
              <w:rPr>
                <w:sz w:val="24"/>
                <w:lang w:val="lv-LV"/>
              </w:rPr>
            </w:pPr>
            <w:r w:rsidRPr="00325B1F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Irlavas sporta namā pieejamas četras ģērbtuves (katrā 3 dušas iekārtas) un septiņas tualetes telpas. Papildus 1 duša iekārta saunas telpā. </w:t>
            </w:r>
            <w:r w:rsidR="00A33C5C">
              <w:rPr>
                <w:sz w:val="24"/>
                <w:lang w:val="lv-LV"/>
              </w:rPr>
              <w:t>Irlavas pamatskol</w:t>
            </w:r>
            <w:r w:rsidR="00E52BB7">
              <w:rPr>
                <w:sz w:val="24"/>
                <w:lang w:val="lv-LV"/>
              </w:rPr>
              <w:t>as</w:t>
            </w:r>
            <w:r w:rsidR="00A33C5C">
              <w:rPr>
                <w:sz w:val="24"/>
                <w:lang w:val="lv-LV"/>
              </w:rPr>
              <w:t xml:space="preserve"> </w:t>
            </w:r>
            <w:r w:rsidR="00207578">
              <w:rPr>
                <w:sz w:val="24"/>
                <w:lang w:val="lv-LV"/>
              </w:rPr>
              <w:t xml:space="preserve">sanitārajās telpās </w:t>
            </w:r>
            <w:r w:rsidRPr="00207578" w:rsidR="00207578">
              <w:rPr>
                <w:sz w:val="24"/>
                <w:lang w:val="lv-LV"/>
              </w:rPr>
              <w:t xml:space="preserve"> 6 klozetpodi, 2 pisuāri, 6 izlietnes un 5 izlietnes pirms ēdnīcas.</w:t>
            </w:r>
          </w:p>
          <w:p w:rsidR="00BF5555" w:rsidP="0037183B" w14:paraId="12676BBF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02B8E939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249D2A72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C7229C3" w14:textId="1AF60FB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52BA1DC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D7D8D9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15A6A599" w14:textId="5E117F9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5C52BEC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65ED43D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5A512354" w14:textId="52AF4EA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E71BC" w:rsidRPr="008E45F8" w:rsidP="0037183B" w14:paraId="2832F7D8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RPr="00E92D79" w:rsidP="00C0560A" w14:paraId="26F9149E" w14:textId="0693469E">
            <w:pPr>
              <w:tabs>
                <w:tab w:val="left" w:pos="993"/>
              </w:tabs>
              <w:spacing w:after="240"/>
              <w:jc w:val="both"/>
              <w:rPr>
                <w:sz w:val="24"/>
                <w:lang w:val="lv-LV"/>
              </w:rPr>
            </w:pPr>
          </w:p>
          <w:p w:rsidR="00635F9A" w:rsidP="00BF5555" w14:paraId="3C98C86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45E3F41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C4C79B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E770ED" w14:textId="2A80C1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97CEB5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5517CE7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0D58FA09" w14:textId="5E9DE13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9246F65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85D015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308F178" w14:textId="284FA13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0D912D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5D257A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178581C" w14:textId="0B3B9B7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50BAFC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2B4DF2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FE1D094" w14:textId="0BD54D2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C99E17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6C64744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4CDF76C" w14:textId="573B4A6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2E0B7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466AAB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0550ABF0" w14:textId="17557CE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7183B" w:rsidP="00BF5555" w14:paraId="01EACFDC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303B4" w:rsidP="00C0560A" w14:paraId="0FCBF1A6" w14:textId="77777777">
            <w:pPr>
              <w:overflowPunct/>
              <w:autoSpaceDE/>
              <w:adjustRightInd/>
              <w:spacing w:after="240"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1E02341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4D94F3D2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559608F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77E2A9B1" w14:textId="7A27D28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24093769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665A975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3C6C5BC4" w14:textId="6045207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387AEC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109F7C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17368C8" w14:textId="4F618BF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635F9A" w:rsidRPr="00635F9A" w:rsidP="00BF5555" w14:paraId="1749C8C4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4303B4" w:rsidP="00C0560A" w14:paraId="30FC5F08" w14:textId="77777777">
            <w:pPr>
              <w:overflowPunct/>
              <w:autoSpaceDE/>
              <w:adjustRightInd/>
              <w:spacing w:after="240"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F5555" w:rsidP="00BF5555" w14:paraId="5CD6866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18D518FD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CEE143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448AB881" w14:textId="1CD6177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AAB6E97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22C598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A72A186" w14:textId="048F389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95E15A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7DBE79A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F4F1ED2" w14:textId="54B53F8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F0FEF8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5971D72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7F57B613" w14:textId="4729B6D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9E40BD" w:rsidRPr="009E356B" w:rsidP="00BF5555" w14:paraId="52726AE7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P="00C0560A" w14:paraId="4F7D0C6B" w14:textId="77777777">
            <w:pPr>
              <w:overflowPunct/>
              <w:autoSpaceDE/>
              <w:adjustRightInd/>
              <w:spacing w:after="360"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0B523E7D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7DE3B4B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D33FE2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EAAEA19" w14:textId="44F1816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A00B1B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2397F4F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79E9682" w14:textId="7F3252C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247238B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AEDE6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96C0E1" w14:textId="3F98608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4228702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4CF6176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7EB8A61" w14:textId="03B935F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0400C6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2464260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1136615" w14:textId="027C98A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DAEDC1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4294814" w14:textId="15E59C6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Dzeramais ūdens atbilst Ministru kabineta 2023. gada 26. septembra noteikumos Nr. 547 </w:t>
                  </w:r>
                  <w:r w:rsidR="00114042">
                    <w:rPr>
                      <w:bCs/>
                      <w:sz w:val="24"/>
                      <w:lang w:val="lv-LV"/>
                    </w:rPr>
                    <w:t>“</w:t>
                  </w:r>
                  <w:r w:rsidRPr="00E175D6">
                    <w:rPr>
                      <w:bCs/>
                      <w:sz w:val="24"/>
                      <w:lang w:val="lv-LV"/>
                    </w:rPr>
                    <w:t>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EBEED9F" w14:textId="5EB5BC7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DCB0A7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383EC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5C8AA439" w14:textId="2F9744B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9E40BD" w:rsidRPr="0029774A" w:rsidP="00AA7975" w14:paraId="015CE5A0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474850" w:rsidRPr="006F5DDC" w:rsidP="006F5DDC" w14:paraId="6CF456CB" w14:textId="5C5E8D62">
            <w:pPr>
              <w:overflowPunct/>
              <w:spacing w:after="160"/>
              <w:jc w:val="both"/>
              <w:textAlignment w:val="auto"/>
              <w:rPr>
                <w:sz w:val="24"/>
                <w:lang w:val="lv-LV"/>
              </w:rPr>
            </w:pPr>
          </w:p>
          <w:p w:rsidR="00AA7975" w:rsidP="00AA7975" w14:paraId="74B2A9A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0AD16E4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052321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FCA9C0D" w14:textId="1CBCFF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D4E2AA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1F812FB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A0FDAEB" w14:textId="2C1C3D2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70F1F92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0AC66AB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78F88422" w14:textId="7A8723D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4F8E25B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0DEFF6C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49DA1CC2" w14:textId="62B179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E175D6" w:rsidRPr="009E356B" w:rsidP="00AA7975" w14:paraId="1B4A35F3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74850" w:rsidRPr="0029774A" w:rsidP="006F5DDC" w14:paraId="0C12117B" w14:textId="77777777">
            <w:pPr>
              <w:overflowPunct/>
              <w:autoSpaceDE/>
              <w:adjustRightInd/>
              <w:spacing w:after="160"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2C3556E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78F144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552BC4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220C93CE" w14:textId="0BEBE21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EFF632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270A152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8DB4553" w14:textId="1A9615E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F1898A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468BE5D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7FFD9A62" w14:textId="7C5C0EB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0C385C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2DA57D5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40C716D3" w14:textId="2E09F23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13AE56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57EFF71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2BE5FD80" w14:textId="02EB672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B2F1A0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3B805C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6768091" w14:textId="1BE1DB7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22FAF12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6907940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62C7B86C" w14:textId="42AD9EA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</w:tbl>
          <w:p w:rsidR="00C72F5D" w:rsidRPr="009E356B" w:rsidP="00AA7975" w14:paraId="10036BC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963EE1" w:rsidRPr="00114042" w:rsidP="00CA3904" w14:paraId="30AAD491" w14:textId="0A320FD4">
            <w:pPr>
              <w:overflowPunct/>
              <w:autoSpaceDE/>
              <w:adjustRightInd/>
              <w:spacing w:after="120"/>
              <w:ind w:right="6"/>
              <w:jc w:val="both"/>
              <w:rPr>
                <w:sz w:val="24"/>
                <w:lang w:val="lv-LV"/>
              </w:rPr>
            </w:pPr>
            <w:r w:rsidRPr="00325B1F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Pie Irlavas</w:t>
            </w:r>
            <w:r w:rsidRPr="0029774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sporta nama atrodas Abavas upes peldvieta. </w:t>
            </w:r>
            <w:r w:rsidRPr="00114042">
              <w:rPr>
                <w:sz w:val="24"/>
                <w:lang w:val="lv-LV"/>
              </w:rPr>
              <w:t xml:space="preserve">Nometnes organizatori ir informēti, ka pirms </w:t>
            </w:r>
            <w:r>
              <w:rPr>
                <w:sz w:val="24"/>
                <w:lang w:val="lv-LV"/>
              </w:rPr>
              <w:t>peldēšanas</w:t>
            </w:r>
            <w:r w:rsidRPr="00114042">
              <w:rPr>
                <w:sz w:val="24"/>
                <w:lang w:val="lv-LV"/>
              </w:rPr>
              <w:t xml:space="preserve"> organizēšanas nepieciešamas peldvietas ūdens kvalitātes analīzes</w:t>
            </w:r>
            <w:r w:rsidR="006F5DDC">
              <w:rPr>
                <w:sz w:val="24"/>
                <w:lang w:val="lv-LV"/>
              </w:rPr>
              <w:t xml:space="preserve"> un jānodrošina atbilstošie drošības pasākumi. </w:t>
            </w:r>
          </w:p>
          <w:p w:rsidR="00AA7975" w:rsidRPr="009E356B" w:rsidP="00AA7975" w14:paraId="24A9949F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45F00BA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18B758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9A6CCD" w:rsidP="008F580C" w14:paraId="4CC53E33" w14:textId="153A4C9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8AB251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4FB2F4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53518012" w14:textId="3B944D2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382A46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8BB4C3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246861F4" w14:textId="5BBB962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1BAC0B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5EA10A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0F8DE5EF" w14:textId="1FB30EC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B35E81" w:rsidRPr="009E356B" w:rsidP="00AA7975" w14:paraId="047F08FE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94781" w:rsidRPr="006F5DDC" w:rsidP="00CA3904" w14:paraId="70542DA5" w14:textId="7AAE3031">
            <w:pPr>
              <w:overflowPunct/>
              <w:autoSpaceDE/>
              <w:adjustRightInd/>
              <w:spacing w:after="240"/>
              <w:ind w:right="6"/>
              <w:jc w:val="both"/>
              <w:rPr>
                <w:sz w:val="24"/>
                <w:lang w:val="lv-LV"/>
              </w:rPr>
            </w:pPr>
            <w:r w:rsidRPr="00325B1F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Vides pieejamība ir nodrošināta Irlavas sporta namā. </w:t>
            </w:r>
          </w:p>
          <w:p w:rsidR="00B35E81" w:rsidP="00A05C5D" w14:paraId="6868131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2C1D5BAF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BB0646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39083BC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0BEA070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91200A2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D5319D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EB2640" w14:paraId="78145CEB" w14:textId="335F0C7C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EB2640" w14:paraId="403DAC91" w14:textId="7777777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2068C3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2AF05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EB2640" w14:paraId="6F6147B1" w14:textId="7777777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EB2640" w14:paraId="02084332" w14:textId="09C82A4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BD36B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203EC70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EB2640" w14:paraId="2366DB65" w14:textId="11036AD6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EB2640" w14:paraId="3BFB88D5" w14:textId="7777777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64E99E97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778202D5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175EDF4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5436A77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4FC2995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0075C63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B3B038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757C4482" w14:textId="7B4DB6A9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3B5D2C35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</w:tr>
            <w:tr w14:paraId="44C43527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414136F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7DE5A007" w14:textId="1E03B78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6D392819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</w:tr>
            <w:tr w14:paraId="6221993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37EC9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1A7B3086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EB2640" w14:paraId="030140DA" w14:textId="31BBA1A1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AB19F9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DFF279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009F02E9" w14:textId="2378D6E0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6F3F4E74" w14:textId="6DD81CB3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27762647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B454FEF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6D184E00" w14:textId="16D1EA41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58754F75" w14:textId="0E147065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-</w:t>
                  </w:r>
                </w:p>
              </w:tc>
            </w:tr>
            <w:tr w14:paraId="4B5324E1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7AA74569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EB2640" w14:paraId="7E1EC241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EB2640" w14:paraId="7D0F3437" w14:textId="4C1D00DE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A05C5D" w:rsidRPr="00B63D10" w:rsidP="00A05C5D" w14:paraId="4FBAB22A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E00AB5" w:rsidRPr="00474850" w:rsidP="00774242" w14:paraId="07404FB6" w14:textId="6A7FD02D">
            <w:pPr>
              <w:tabs>
                <w:tab w:val="left" w:pos="993"/>
              </w:tabs>
              <w:spacing w:after="120"/>
              <w:jc w:val="both"/>
              <w:rPr>
                <w:b/>
                <w:bCs/>
                <w:sz w:val="24"/>
                <w:lang w:val="lv-LV"/>
              </w:rPr>
            </w:pPr>
            <w:r w:rsidRPr="00325B1F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Nometnes dalībnieki </w:t>
            </w:r>
            <w:r w:rsidRPr="0079373E">
              <w:rPr>
                <w:sz w:val="24"/>
                <w:lang w:val="lv-LV"/>
              </w:rPr>
              <w:t xml:space="preserve">nodrošinās personīgo gultas veļu un dvieļus. Nometņu ilgums </w:t>
            </w:r>
            <w:r>
              <w:rPr>
                <w:sz w:val="24"/>
                <w:lang w:val="lv-LV"/>
              </w:rPr>
              <w:t xml:space="preserve">līdz </w:t>
            </w:r>
            <w:r w:rsidR="00774242">
              <w:rPr>
                <w:sz w:val="24"/>
                <w:lang w:val="lv-LV"/>
              </w:rPr>
              <w:t>astoņām</w:t>
            </w:r>
            <w:r w:rsidRPr="0079373E">
              <w:rPr>
                <w:sz w:val="24"/>
                <w:lang w:val="lv-LV"/>
              </w:rPr>
              <w:t xml:space="preserve"> dien</w:t>
            </w:r>
            <w:r>
              <w:rPr>
                <w:sz w:val="24"/>
                <w:lang w:val="lv-LV"/>
              </w:rPr>
              <w:t>ām</w:t>
            </w:r>
            <w:r w:rsidRPr="0079373E">
              <w:rPr>
                <w:sz w:val="24"/>
                <w:lang w:val="lv-LV"/>
              </w:rPr>
              <w:t xml:space="preserve">. Ja nometnes vadītājs konstatē, ka nepieciešama gultas veļas vai dvieļu mazgāšana, tad </w:t>
            </w:r>
            <w:r>
              <w:rPr>
                <w:sz w:val="24"/>
                <w:lang w:val="lv-LV"/>
              </w:rPr>
              <w:t xml:space="preserve">Irlavas sporta namā uz vietas </w:t>
            </w:r>
            <w:r w:rsidRPr="0079373E">
              <w:rPr>
                <w:sz w:val="24"/>
                <w:lang w:val="lv-LV"/>
              </w:rPr>
              <w:t>pieejama veļas mašīna.</w:t>
            </w:r>
          </w:p>
        </w:tc>
      </w:tr>
      <w:tr w14:paraId="3DA1E9A1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06615E85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B1EB9" w:rsidP="00537AA2" w14:paraId="6073D74D" w14:textId="3CAB469A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>Bērnu un jauniešu nometņu norises vieta</w:t>
            </w:r>
            <w:r w:rsidR="00774242">
              <w:rPr>
                <w:b/>
                <w:bCs/>
                <w:sz w:val="24"/>
                <w:lang w:val="lv-LV"/>
              </w:rPr>
              <w:t>s</w:t>
            </w:r>
            <w:r w:rsidR="0079373E">
              <w:rPr>
                <w:b/>
                <w:bCs/>
                <w:sz w:val="24"/>
                <w:lang w:val="lv-LV"/>
              </w:rPr>
              <w:t xml:space="preserve"> “Irlavas sporta nams”</w:t>
            </w:r>
            <w:r w:rsidR="00774242">
              <w:rPr>
                <w:b/>
                <w:bCs/>
                <w:sz w:val="24"/>
                <w:lang w:val="lv-LV"/>
              </w:rPr>
              <w:t xml:space="preserve"> un “Irlavas pamatskola”</w:t>
            </w:r>
            <w:r w:rsidRPr="0079373E" w:rsidR="0079373E">
              <w:rPr>
                <w:lang w:val="lv-LV"/>
              </w:rPr>
              <w:t xml:space="preserve"> </w:t>
            </w:r>
            <w:r w:rsidRPr="0079373E" w:rsidR="0079373E">
              <w:rPr>
                <w:b/>
                <w:bCs/>
                <w:sz w:val="24"/>
                <w:lang w:val="lv-LV"/>
              </w:rPr>
              <w:t>Sporta iel</w:t>
            </w:r>
            <w:r w:rsidR="0079373E">
              <w:rPr>
                <w:b/>
                <w:bCs/>
                <w:sz w:val="24"/>
                <w:lang w:val="lv-LV"/>
              </w:rPr>
              <w:t>ā</w:t>
            </w:r>
            <w:r w:rsidRPr="0079373E" w:rsidR="0079373E">
              <w:rPr>
                <w:b/>
                <w:bCs/>
                <w:sz w:val="24"/>
                <w:lang w:val="lv-LV"/>
              </w:rPr>
              <w:t xml:space="preserve"> 1,</w:t>
            </w:r>
            <w:r w:rsidR="00774242">
              <w:rPr>
                <w:b/>
                <w:bCs/>
                <w:sz w:val="24"/>
                <w:lang w:val="lv-LV"/>
              </w:rPr>
              <w:t xml:space="preserve"> “Irlavas skola”,</w:t>
            </w:r>
            <w:r w:rsidRPr="0079373E" w:rsidR="0079373E">
              <w:rPr>
                <w:b/>
                <w:bCs/>
                <w:sz w:val="24"/>
                <w:lang w:val="lv-LV"/>
              </w:rPr>
              <w:t xml:space="preserve"> Irlav</w:t>
            </w:r>
            <w:r w:rsidR="0079373E">
              <w:rPr>
                <w:b/>
                <w:bCs/>
                <w:sz w:val="24"/>
                <w:lang w:val="lv-LV"/>
              </w:rPr>
              <w:t>ā</w:t>
            </w:r>
            <w:r w:rsidRPr="0079373E" w:rsidR="0079373E">
              <w:rPr>
                <w:b/>
                <w:bCs/>
                <w:sz w:val="24"/>
                <w:lang w:val="lv-LV"/>
              </w:rPr>
              <w:t>, Irlavas pagast</w:t>
            </w:r>
            <w:r w:rsidR="0079373E">
              <w:rPr>
                <w:b/>
                <w:bCs/>
                <w:sz w:val="24"/>
                <w:lang w:val="lv-LV"/>
              </w:rPr>
              <w:t>ā</w:t>
            </w:r>
            <w:r w:rsidRPr="0079373E" w:rsidR="0079373E">
              <w:rPr>
                <w:b/>
                <w:bCs/>
                <w:sz w:val="24"/>
                <w:lang w:val="lv-LV"/>
              </w:rPr>
              <w:t>, Tukuma novad</w:t>
            </w:r>
            <w:r w:rsidR="0079373E">
              <w:rPr>
                <w:b/>
                <w:bCs/>
                <w:sz w:val="24"/>
                <w:lang w:val="lv-LV"/>
              </w:rPr>
              <w:t xml:space="preserve">ā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>atbilst</w:t>
            </w:r>
            <w:r w:rsidRPr="00DB454E">
              <w:rPr>
                <w:b/>
                <w:bCs/>
                <w:sz w:val="24"/>
                <w:lang w:val="lv-LV"/>
              </w:rPr>
              <w:t xml:space="preserve">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8F580C" w:rsidRPr="00B97727" w:rsidP="00537AA2" w14:paraId="57178DA5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2D2E65F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078C948B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DB454E" w:rsidRPr="00774242" w:rsidP="00DB454E" w14:paraId="5C0A2E23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74242">
              <w:rPr>
                <w:rFonts w:ascii="Times New Roman" w:hAnsi="Times New Roman"/>
                <w:sz w:val="23"/>
                <w:szCs w:val="23"/>
              </w:rPr>
              <w:t>1.</w:t>
            </w:r>
            <w:r w:rsidRPr="00774242">
              <w:rPr>
                <w:sz w:val="23"/>
                <w:szCs w:val="23"/>
              </w:rPr>
              <w:t xml:space="preserve"> </w:t>
            </w:r>
            <w:r w:rsidRPr="00774242">
              <w:rPr>
                <w:rFonts w:ascii="Times New Roman" w:hAnsi="Times New Roman"/>
                <w:sz w:val="23"/>
                <w:szCs w:val="23"/>
              </w:rPr>
              <w:t xml:space="preserve">Nodrošināt </w:t>
            </w:r>
            <w:r w:rsidRPr="00AD44C8">
              <w:rPr>
                <w:rFonts w:ascii="Times New Roman" w:hAnsi="Times New Roman"/>
                <w:b/>
                <w:bCs/>
                <w:sz w:val="23"/>
                <w:szCs w:val="23"/>
              </w:rPr>
              <w:t>Ministru kabineta</w:t>
            </w:r>
            <w:r w:rsidRPr="0077424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774242">
              <w:rPr>
                <w:rFonts w:ascii="Times New Roman" w:hAnsi="Times New Roman"/>
                <w:b/>
                <w:bCs/>
                <w:sz w:val="23"/>
                <w:szCs w:val="23"/>
              </w:rPr>
              <w:t>2009. gada 1. septembra noteikumu Nr.981</w:t>
            </w:r>
            <w:r w:rsidRPr="00774242">
              <w:rPr>
                <w:rFonts w:ascii="Times New Roman" w:hAnsi="Times New Roman"/>
                <w:sz w:val="23"/>
                <w:szCs w:val="23"/>
              </w:rPr>
              <w:t xml:space="preserve"> “Bērnu nometņu organizēšanas un darbības kārtība” prasību izpildi</w:t>
            </w:r>
            <w:r w:rsidRPr="00774242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  <w:p w:rsidR="00DB454E" w:rsidRPr="00774242" w:rsidP="00DB454E" w14:paraId="0D98D869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3"/>
                <w:szCs w:val="23"/>
                <w:u w:val="single"/>
              </w:rPr>
            </w:pPr>
            <w:r w:rsidRPr="00774242">
              <w:rPr>
                <w:rFonts w:ascii="Times New Roman" w:hAnsi="Times New Roman"/>
                <w:sz w:val="23"/>
                <w:szCs w:val="23"/>
              </w:rPr>
              <w:t xml:space="preserve">2. Nometņu darbības laikā ievērot </w:t>
            </w:r>
            <w:r w:rsidRPr="00774242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Valsts izglītības satura centra </w:t>
            </w:r>
            <w:r w:rsidRPr="00774242">
              <w:rPr>
                <w:rFonts w:ascii="Times New Roman" w:hAnsi="Times New Roman"/>
                <w:sz w:val="23"/>
                <w:szCs w:val="23"/>
              </w:rPr>
              <w:t>“Vadlīnijas piesardzības pasākumiem bērnu nometņu organizētājiem” vai aktuālajiem piesardzības pasākumiem, ja tādi tiks rekomendēti gada laikā pēc Atzinuma saņemšanas.</w:t>
            </w:r>
            <w:r w:rsidRPr="00774242">
              <w:rPr>
                <w:sz w:val="23"/>
                <w:szCs w:val="23"/>
              </w:rPr>
              <w:t xml:space="preserve"> </w:t>
            </w:r>
          </w:p>
          <w:p w:rsidR="00DB454E" w:rsidRPr="00774242" w:rsidP="00DB454E" w14:paraId="3BB2EE4A" w14:textId="77777777">
            <w:pPr>
              <w:tabs>
                <w:tab w:val="left" w:pos="0"/>
                <w:tab w:val="left" w:pos="318"/>
              </w:tabs>
              <w:jc w:val="both"/>
              <w:rPr>
                <w:bCs/>
                <w:color w:val="000000"/>
                <w:sz w:val="23"/>
                <w:szCs w:val="23"/>
                <w:bdr w:val="none" w:sz="0" w:space="0" w:color="auto" w:frame="1"/>
                <w:lang w:val="lv-LV"/>
              </w:rPr>
            </w:pPr>
            <w:r w:rsidRPr="00774242">
              <w:rPr>
                <w:sz w:val="23"/>
                <w:szCs w:val="23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774242">
              <w:rPr>
                <w:bCs/>
                <w:color w:val="000000"/>
                <w:sz w:val="23"/>
                <w:szCs w:val="23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107697" w:rsidRPr="00DB454E" w:rsidP="003B13F2" w14:paraId="24FAC135" w14:textId="4EA8E81D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  <w:r w:rsidRPr="00774242">
              <w:rPr>
                <w:bCs/>
                <w:color w:val="000000"/>
                <w:sz w:val="23"/>
                <w:szCs w:val="23"/>
                <w:bdr w:val="none" w:sz="0" w:space="0" w:color="auto" w:frame="1"/>
                <w:lang w:val="lv-LV"/>
              </w:rPr>
              <w:t xml:space="preserve">4. Nodrošināt </w:t>
            </w:r>
            <w:r w:rsidRPr="00774242">
              <w:rPr>
                <w:b/>
                <w:color w:val="000000"/>
                <w:sz w:val="23"/>
                <w:szCs w:val="23"/>
                <w:bdr w:val="none" w:sz="0" w:space="0" w:color="auto" w:frame="1"/>
                <w:lang w:val="lv-LV"/>
              </w:rPr>
              <w:t>Ministru kabineta 2018. gada 27. jūlija noteikumu Nr.447</w:t>
            </w:r>
            <w:r w:rsidRPr="00774242">
              <w:rPr>
                <w:bCs/>
                <w:color w:val="000000"/>
                <w:sz w:val="23"/>
                <w:szCs w:val="23"/>
                <w:bdr w:val="none" w:sz="0" w:space="0" w:color="auto" w:frame="1"/>
                <w:lang w:val="lv-LV"/>
              </w:rPr>
              <w:t xml:space="preserve"> “Noteikumi par darbiem, kas saistīti ar iespējamu risku citu cilvēku veselībai, un obligāto veselības pārbaužu veikšanas kārtību” prasību ievērošanu.</w:t>
            </w:r>
          </w:p>
        </w:tc>
      </w:tr>
    </w:tbl>
    <w:p w:rsidR="0037183B" w:rsidRPr="00774242" w14:paraId="2FDC955E" w14:textId="5609BD1D">
      <w:pPr>
        <w:rPr>
          <w:sz w:val="20"/>
          <w:szCs w:val="20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4"/>
      </w:tblGrid>
      <w:tr w14:paraId="098B4F69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774242" w:rsidP="003F4FB2" w14:paraId="3C5AFC3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622F6236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tbl>
            <w:tblPr>
              <w:tblW w:w="9356" w:type="dxa"/>
              <w:tblInd w:w="108" w:type="dxa"/>
              <w:tblLook w:val="04A0"/>
            </w:tblPr>
            <w:tblGrid>
              <w:gridCol w:w="5849"/>
              <w:gridCol w:w="3507"/>
            </w:tblGrid>
            <w:tr w14:paraId="36C1C3DD" w14:textId="77777777" w:rsidTr="00DB454E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  <w:hideMark/>
                </w:tcPr>
                <w:p w:rsidR="00DB454E" w:rsidP="00DB454E" w14:paraId="1241BAAA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Sabiedrības veselības departamenta </w:t>
                  </w:r>
                </w:p>
                <w:p w:rsidR="00DB454E" w:rsidP="00DB454E" w14:paraId="7EA2D57C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Zemgales kontroles nodaļas Vides veselības analītiķe</w:t>
                  </w:r>
                </w:p>
              </w:tc>
              <w:tc>
                <w:tcPr>
                  <w:tcW w:w="3073" w:type="dxa"/>
                </w:tcPr>
                <w:p w:rsidR="00DB454E" w:rsidP="00DB454E" w14:paraId="47E4EC0F" w14:textId="77777777">
                  <w:pPr>
                    <w:rPr>
                      <w:noProof/>
                      <w:sz w:val="24"/>
                      <w:lang w:val="lv-LV"/>
                    </w:rPr>
                  </w:pPr>
                </w:p>
                <w:p w:rsidR="00DB454E" w:rsidP="00DB454E" w14:paraId="3440D896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noProof/>
                      <w:sz w:val="24"/>
                      <w:lang w:val="lv-LV"/>
                    </w:rPr>
                    <w:t>Līga Ābolkalna</w:t>
                  </w:r>
                </w:p>
              </w:tc>
            </w:tr>
          </w:tbl>
          <w:p w:rsidR="00D61C66" w:rsidRPr="00774242" w:rsidP="00DB454E" w14:paraId="681482EF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D61C66" w:rsidRPr="00774242" w:rsidP="00DB454E" w14:paraId="10353326" w14:textId="77777777">
            <w:pPr>
              <w:tabs>
                <w:tab w:val="right" w:pos="9072"/>
              </w:tabs>
              <w:rPr>
                <w:sz w:val="12"/>
                <w:szCs w:val="12"/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9360"/>
            </w:tblGrid>
            <w:tr w14:paraId="40F83A59" w14:textId="77777777" w:rsidTr="00DB454E">
              <w:tblPrEx>
                <w:tblW w:w="9360" w:type="dxa"/>
                <w:tblInd w:w="108" w:type="dxa"/>
                <w:tblLook w:val="04A0"/>
              </w:tblPrEx>
              <w:tc>
                <w:tcPr>
                  <w:tcW w:w="9357" w:type="dxa"/>
                  <w:hideMark/>
                </w:tcPr>
                <w:p w:rsidR="00DB454E" w:rsidP="00DB454E" w14:paraId="683B504C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0"/>
                      <w:szCs w:val="20"/>
                      <w:lang w:val="en-US"/>
                    </w:rPr>
                  </w:pPr>
                  <w:r>
                    <w:rPr>
                      <w:b w:val="0"/>
                      <w:noProof/>
                      <w:sz w:val="20"/>
                      <w:szCs w:val="20"/>
                      <w:lang w:val="en-US"/>
                    </w:rPr>
                    <w:t>Līga Ābolkalna</w:t>
                  </w:r>
                  <w:r>
                    <w:rPr>
                      <w:b w:val="0"/>
                      <w:sz w:val="20"/>
                      <w:szCs w:val="20"/>
                      <w:lang w:val="en-US"/>
                    </w:rPr>
                    <w:t>, 25633189</w:t>
                  </w:r>
                </w:p>
                <w:p w:rsidR="00774242" w:rsidP="00DB454E" w14:paraId="75AFFE0E" w14:textId="1F8C8B12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0"/>
                      <w:szCs w:val="20"/>
                      <w:lang w:val="en-US"/>
                    </w:rPr>
                  </w:pPr>
                  <w:hyperlink r:id="rId5" w:history="1">
                    <w:r w:rsidRPr="00D11BA3">
                      <w:rPr>
                        <w:rStyle w:val="Hyperlink"/>
                        <w:b w:val="0"/>
                        <w:sz w:val="20"/>
                        <w:szCs w:val="20"/>
                        <w:lang w:val="en-US"/>
                      </w:rPr>
                      <w:t>liga.abolkalna@vi.gov.lv</w:t>
                    </w:r>
                  </w:hyperlink>
                  <w:r>
                    <w:rPr>
                      <w:b w:val="0"/>
                      <w:sz w:val="20"/>
                      <w:szCs w:val="20"/>
                      <w:lang w:val="en-US"/>
                    </w:rPr>
                    <w:t xml:space="preserve"> </w:t>
                  </w:r>
                  <w:r w:rsidR="00AE2E63">
                    <w:rPr>
                      <w:b w:val="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  <w:p w:rsidR="00DB454E" w:rsidP="00DB454E" w14:paraId="572EFEF7" w14:textId="1C14BD63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0"/>
                      <w:szCs w:val="20"/>
                      <w:lang w:val="en-US"/>
                    </w:rPr>
                  </w:pPr>
                </w:p>
              </w:tc>
            </w:tr>
            <w:tr w14:paraId="62770344" w14:textId="77777777" w:rsidTr="00DB454E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hideMark/>
                </w:tcPr>
                <w:p w:rsidR="00DB454E" w:rsidRPr="00DB454E" w:rsidP="00DB454E" w14:paraId="0DE34266" w14:textId="2AE5CE7F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0"/>
                      <w:szCs w:val="20"/>
                    </w:rPr>
                  </w:pPr>
                </w:p>
              </w:tc>
            </w:tr>
          </w:tbl>
          <w:p w:rsidR="007F2704" w:rsidRPr="008E62F0" w:rsidP="003F4FB2" w14:paraId="2692A0C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4ED7A2FC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9C598C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851" w:right="851" w:bottom="567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1532B33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511CE32" w14:textId="77777777">
    <w:pPr>
      <w:pStyle w:val="Footer"/>
      <w:rPr>
        <w:sz w:val="20"/>
        <w:lang w:val="lv-LV"/>
      </w:rPr>
    </w:pPr>
  </w:p>
  <w:p w:rsidR="002E3FF9" w:rsidRPr="00E53C2B" w:rsidP="00961B65" w14:paraId="27203B1E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5D224F2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0843C345" w14:textId="77777777">
    <w:pPr>
      <w:pStyle w:val="Footer"/>
      <w:rPr>
        <w:sz w:val="20"/>
        <w:lang w:val="lv-LV"/>
      </w:rPr>
    </w:pPr>
  </w:p>
  <w:p w:rsidR="002E3FF9" w:rsidRPr="00022614" w14:paraId="2AA6ECB5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8B3249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D44C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B8FE7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FCFEB6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068664C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B8B4226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09F0CB87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5BCBD1A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64AF7E16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3B8504B5" w14:textId="7777777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03.06.2024</w:t>
          </w:r>
        </w:p>
        <w:p w:rsidR="002E3FF9" w:rsidP="00C752CC" w14:paraId="7912711D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538A4BD0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2.4.9.-14/377</w:t>
          </w:r>
        </w:p>
      </w:tc>
    </w:tr>
  </w:tbl>
  <w:p w:rsidR="002E3FF9" w:rsidRPr="00783D52" w:rsidP="00633DAF" w14:paraId="2875B8F9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4745E40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81C" w:rsidP="001E681C" w14:paraId="5F49A387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Krišjāņa Barona iela 40a, </w:t>
    </w:r>
    <w:r>
      <w:rPr>
        <w:bCs/>
        <w:sz w:val="20"/>
        <w:lang w:val="lv-LV"/>
      </w:rPr>
      <w:t>Jelgava, LV-3001</w:t>
    </w:r>
  </w:p>
  <w:p w:rsidR="001E681C" w:rsidP="001E681C" w14:paraId="27135AB8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>
        <w:rPr>
          <w:rStyle w:val="Hyperlink"/>
          <w:bCs/>
          <w:sz w:val="20"/>
          <w:lang w:val="lv-LV"/>
        </w:rPr>
        <w:t>zemgale@vi.gov.lv</w:t>
      </w:r>
    </w:hyperlink>
    <w:r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bCs/>
          <w:sz w:val="20"/>
          <w:szCs w:val="20"/>
          <w:lang w:val="lv-LV"/>
        </w:rPr>
        <w:t>www.vi.gov.lv</w:t>
      </w:r>
    </w:hyperlink>
    <w:r>
      <w:rPr>
        <w:bCs/>
        <w:sz w:val="20"/>
        <w:szCs w:val="20"/>
        <w:lang w:val="lv-LV"/>
      </w:rPr>
      <w:t xml:space="preserve"> </w:t>
    </w:r>
  </w:p>
  <w:p w:rsidR="002E3FF9" w:rsidRPr="00DC7086" w:rsidP="001E681C" w14:paraId="2C8C152B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26DBD"/>
    <w:rsid w:val="00035D24"/>
    <w:rsid w:val="00042421"/>
    <w:rsid w:val="00043DA9"/>
    <w:rsid w:val="00044E16"/>
    <w:rsid w:val="000479F7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4042"/>
    <w:rsid w:val="00114A2B"/>
    <w:rsid w:val="00115CB8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67440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D88"/>
    <w:rsid w:val="001D6BD1"/>
    <w:rsid w:val="001E30BE"/>
    <w:rsid w:val="001E4D39"/>
    <w:rsid w:val="001E60F5"/>
    <w:rsid w:val="001E681C"/>
    <w:rsid w:val="001F5AE3"/>
    <w:rsid w:val="00201915"/>
    <w:rsid w:val="00207578"/>
    <w:rsid w:val="00211C26"/>
    <w:rsid w:val="00217EFF"/>
    <w:rsid w:val="002213CB"/>
    <w:rsid w:val="00237188"/>
    <w:rsid w:val="00240007"/>
    <w:rsid w:val="00246554"/>
    <w:rsid w:val="00254026"/>
    <w:rsid w:val="0025403B"/>
    <w:rsid w:val="002560A9"/>
    <w:rsid w:val="00257113"/>
    <w:rsid w:val="00262D25"/>
    <w:rsid w:val="00271B5F"/>
    <w:rsid w:val="002747F1"/>
    <w:rsid w:val="00280160"/>
    <w:rsid w:val="0028193E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349B"/>
    <w:rsid w:val="002A39F3"/>
    <w:rsid w:val="002C1976"/>
    <w:rsid w:val="002C774F"/>
    <w:rsid w:val="002D1636"/>
    <w:rsid w:val="002D2040"/>
    <w:rsid w:val="002D4858"/>
    <w:rsid w:val="002D5ACD"/>
    <w:rsid w:val="002D6255"/>
    <w:rsid w:val="002E10C2"/>
    <w:rsid w:val="002E3FF9"/>
    <w:rsid w:val="002E4342"/>
    <w:rsid w:val="002F1A3D"/>
    <w:rsid w:val="002F31D0"/>
    <w:rsid w:val="002F4108"/>
    <w:rsid w:val="002F432F"/>
    <w:rsid w:val="002F7EB2"/>
    <w:rsid w:val="00304183"/>
    <w:rsid w:val="00305415"/>
    <w:rsid w:val="003059B5"/>
    <w:rsid w:val="003173B0"/>
    <w:rsid w:val="00320189"/>
    <w:rsid w:val="00321DF2"/>
    <w:rsid w:val="00325B1F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638C0"/>
    <w:rsid w:val="00370CCC"/>
    <w:rsid w:val="0037183B"/>
    <w:rsid w:val="00377129"/>
    <w:rsid w:val="00392428"/>
    <w:rsid w:val="0039440A"/>
    <w:rsid w:val="003A01C4"/>
    <w:rsid w:val="003A098B"/>
    <w:rsid w:val="003A4FAB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12358"/>
    <w:rsid w:val="004303B4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964E0"/>
    <w:rsid w:val="004A0D44"/>
    <w:rsid w:val="004B1FAC"/>
    <w:rsid w:val="004B7410"/>
    <w:rsid w:val="004C144D"/>
    <w:rsid w:val="004C2520"/>
    <w:rsid w:val="004C4FF2"/>
    <w:rsid w:val="004D63BF"/>
    <w:rsid w:val="004D76F7"/>
    <w:rsid w:val="004E3A26"/>
    <w:rsid w:val="005049C7"/>
    <w:rsid w:val="00537AA2"/>
    <w:rsid w:val="00540361"/>
    <w:rsid w:val="00543916"/>
    <w:rsid w:val="005514D8"/>
    <w:rsid w:val="00552816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52EBB"/>
    <w:rsid w:val="0068137B"/>
    <w:rsid w:val="006834AF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2B0E"/>
    <w:rsid w:val="006E3012"/>
    <w:rsid w:val="006F15F9"/>
    <w:rsid w:val="006F5DDC"/>
    <w:rsid w:val="006F7A48"/>
    <w:rsid w:val="00703EF0"/>
    <w:rsid w:val="007101E3"/>
    <w:rsid w:val="00710429"/>
    <w:rsid w:val="00715894"/>
    <w:rsid w:val="007162E0"/>
    <w:rsid w:val="00721F61"/>
    <w:rsid w:val="007264D1"/>
    <w:rsid w:val="00736B8D"/>
    <w:rsid w:val="00741EE3"/>
    <w:rsid w:val="00742926"/>
    <w:rsid w:val="007472DF"/>
    <w:rsid w:val="00750DB1"/>
    <w:rsid w:val="00753F57"/>
    <w:rsid w:val="00761EB0"/>
    <w:rsid w:val="0076430E"/>
    <w:rsid w:val="00774242"/>
    <w:rsid w:val="007768B5"/>
    <w:rsid w:val="00777591"/>
    <w:rsid w:val="00783D52"/>
    <w:rsid w:val="0079373E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525E4"/>
    <w:rsid w:val="00872DDD"/>
    <w:rsid w:val="00893559"/>
    <w:rsid w:val="0089710B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E0C54"/>
    <w:rsid w:val="008E3B42"/>
    <w:rsid w:val="008E45F8"/>
    <w:rsid w:val="008E62F0"/>
    <w:rsid w:val="008F141D"/>
    <w:rsid w:val="008F580C"/>
    <w:rsid w:val="00900669"/>
    <w:rsid w:val="00911A26"/>
    <w:rsid w:val="00914F7A"/>
    <w:rsid w:val="0092473C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678CF"/>
    <w:rsid w:val="00970D38"/>
    <w:rsid w:val="00974617"/>
    <w:rsid w:val="00977146"/>
    <w:rsid w:val="00982723"/>
    <w:rsid w:val="00983C0F"/>
    <w:rsid w:val="00987D1B"/>
    <w:rsid w:val="009A6CCD"/>
    <w:rsid w:val="009B4247"/>
    <w:rsid w:val="009B4FCF"/>
    <w:rsid w:val="009B58B6"/>
    <w:rsid w:val="009C598C"/>
    <w:rsid w:val="009C7C74"/>
    <w:rsid w:val="009D2BEB"/>
    <w:rsid w:val="009D5007"/>
    <w:rsid w:val="009E356B"/>
    <w:rsid w:val="009E40BD"/>
    <w:rsid w:val="009E5EB3"/>
    <w:rsid w:val="009E625D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C5C"/>
    <w:rsid w:val="00A33F2B"/>
    <w:rsid w:val="00A41ED5"/>
    <w:rsid w:val="00A47DD5"/>
    <w:rsid w:val="00A50189"/>
    <w:rsid w:val="00A51A91"/>
    <w:rsid w:val="00A54A76"/>
    <w:rsid w:val="00A57431"/>
    <w:rsid w:val="00A611CA"/>
    <w:rsid w:val="00A63D54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9B4"/>
    <w:rsid w:val="00A95FAF"/>
    <w:rsid w:val="00A96A7F"/>
    <w:rsid w:val="00A9730D"/>
    <w:rsid w:val="00AA4728"/>
    <w:rsid w:val="00AA7975"/>
    <w:rsid w:val="00AB48C7"/>
    <w:rsid w:val="00AB4FB4"/>
    <w:rsid w:val="00AB5F35"/>
    <w:rsid w:val="00AD44C8"/>
    <w:rsid w:val="00AD4E4E"/>
    <w:rsid w:val="00AE06D7"/>
    <w:rsid w:val="00AE119F"/>
    <w:rsid w:val="00AE2E63"/>
    <w:rsid w:val="00AE48C3"/>
    <w:rsid w:val="00AF5154"/>
    <w:rsid w:val="00AF6968"/>
    <w:rsid w:val="00B02705"/>
    <w:rsid w:val="00B10D5D"/>
    <w:rsid w:val="00B22CEB"/>
    <w:rsid w:val="00B3114A"/>
    <w:rsid w:val="00B35E81"/>
    <w:rsid w:val="00B404FC"/>
    <w:rsid w:val="00B43275"/>
    <w:rsid w:val="00B5223D"/>
    <w:rsid w:val="00B56932"/>
    <w:rsid w:val="00B63D10"/>
    <w:rsid w:val="00B82621"/>
    <w:rsid w:val="00B83A37"/>
    <w:rsid w:val="00B8747E"/>
    <w:rsid w:val="00B9671F"/>
    <w:rsid w:val="00B97258"/>
    <w:rsid w:val="00B97727"/>
    <w:rsid w:val="00BA0535"/>
    <w:rsid w:val="00BA3F93"/>
    <w:rsid w:val="00BA6305"/>
    <w:rsid w:val="00BA71B2"/>
    <w:rsid w:val="00BC31EE"/>
    <w:rsid w:val="00BC535B"/>
    <w:rsid w:val="00BC55BF"/>
    <w:rsid w:val="00BC67F6"/>
    <w:rsid w:val="00BC6C17"/>
    <w:rsid w:val="00BC74F9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60A"/>
    <w:rsid w:val="00C05FD0"/>
    <w:rsid w:val="00C108EE"/>
    <w:rsid w:val="00C17178"/>
    <w:rsid w:val="00C23199"/>
    <w:rsid w:val="00C26E07"/>
    <w:rsid w:val="00C274B1"/>
    <w:rsid w:val="00C31047"/>
    <w:rsid w:val="00C37A2B"/>
    <w:rsid w:val="00C37C29"/>
    <w:rsid w:val="00C42025"/>
    <w:rsid w:val="00C4216C"/>
    <w:rsid w:val="00C43C85"/>
    <w:rsid w:val="00C55AB8"/>
    <w:rsid w:val="00C60A08"/>
    <w:rsid w:val="00C61755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3904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BA3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45273"/>
    <w:rsid w:val="00D50034"/>
    <w:rsid w:val="00D56169"/>
    <w:rsid w:val="00D61C66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454E"/>
    <w:rsid w:val="00DB6B34"/>
    <w:rsid w:val="00DB74BC"/>
    <w:rsid w:val="00DC7086"/>
    <w:rsid w:val="00DD7C9A"/>
    <w:rsid w:val="00DF1056"/>
    <w:rsid w:val="00DF208A"/>
    <w:rsid w:val="00DF6F12"/>
    <w:rsid w:val="00DF7584"/>
    <w:rsid w:val="00E00AB5"/>
    <w:rsid w:val="00E06DA0"/>
    <w:rsid w:val="00E175D6"/>
    <w:rsid w:val="00E17CE0"/>
    <w:rsid w:val="00E27EBE"/>
    <w:rsid w:val="00E32640"/>
    <w:rsid w:val="00E50C24"/>
    <w:rsid w:val="00E52BB7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2640"/>
    <w:rsid w:val="00EB5F72"/>
    <w:rsid w:val="00ED1FD7"/>
    <w:rsid w:val="00EE70C4"/>
    <w:rsid w:val="00EF09E1"/>
    <w:rsid w:val="00EF0C0E"/>
    <w:rsid w:val="00F11610"/>
    <w:rsid w:val="00F13A76"/>
    <w:rsid w:val="00F14327"/>
    <w:rsid w:val="00F204A9"/>
    <w:rsid w:val="00F30519"/>
    <w:rsid w:val="00F34141"/>
    <w:rsid w:val="00F43670"/>
    <w:rsid w:val="00F52C76"/>
    <w:rsid w:val="00F54FF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  <w:rsid w:val="00FE5DB2"/>
    <w:rsid w:val="00FE68E7"/>
    <w:rsid w:val="00FE7578"/>
    <w:rsid w:val="00FF1A2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9F70E9C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61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1024</Words>
  <Characters>7420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36</cp:revision>
  <cp:lastPrinted>2024-02-08T06:54:00Z</cp:lastPrinted>
  <dcterms:created xsi:type="dcterms:W3CDTF">2024-05-23T09:22:00Z</dcterms:created>
  <dcterms:modified xsi:type="dcterms:W3CDTF">2024-06-03T07:20:00Z</dcterms:modified>
</cp:coreProperties>
</file>