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570B260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1E59C895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55D3914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7F77FA31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38C62A9A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046373A9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8DF367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658C1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5F60BA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B2A828E" w14:textId="753A6A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4C64DA">
              <w:rPr>
                <w:rFonts w:ascii="Times New Roman" w:hAnsi="Times New Roman"/>
                <w:sz w:val="24"/>
                <w:szCs w:val="24"/>
              </w:rPr>
              <w:t xml:space="preserve">Sporta Deju Klubs </w:t>
            </w:r>
            <w:r w:rsidRPr="004C64DA">
              <w:rPr>
                <w:rFonts w:ascii="Times New Roman" w:hAnsi="Times New Roman"/>
                <w:sz w:val="24"/>
                <w:szCs w:val="24"/>
              </w:rPr>
              <w:t>Mirada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31E76AA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63A160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D6BE27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EDA98A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3BA71C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2BB1C3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F37511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82F902B" w14:textId="3FF421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4C64DA">
              <w:rPr>
                <w:rFonts w:ascii="Times New Roman" w:hAnsi="Times New Roman"/>
                <w:color w:val="000000"/>
                <w:sz w:val="24"/>
                <w:szCs w:val="24"/>
              </w:rPr>
              <w:t>40008311363</w:t>
            </w:r>
          </w:p>
        </w:tc>
      </w:tr>
      <w:tr w14:paraId="6132C6A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2AC977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3ABF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62D003E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C01623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3FBD9A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DA6F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9F94CBB" w14:textId="4765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color w:val="000000"/>
                <w:sz w:val="24"/>
                <w:szCs w:val="24"/>
              </w:rPr>
              <w:t>Lielirbes iela 6 – 16, Rīga, LV-1046</w:t>
            </w:r>
          </w:p>
        </w:tc>
      </w:tr>
      <w:tr w14:paraId="1DD8248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C21F8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E4EDC9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272815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7FDD43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FC309E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/59</w:t>
      </w:r>
    </w:p>
    <w:p w:rsidR="00C959F6" w:rsidP="00070E23" w14:paraId="686017D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98092E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00AE77C9" w14:textId="77777777" w:rsidTr="00984687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D0274D" w:rsidRPr="00E227D8" w:rsidP="00984687" w14:paraId="648FF6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E227D8" w:rsidP="004C64DA" w14:paraId="01E671F5" w14:textId="2E94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64DA">
              <w:rPr>
                <w:rFonts w:ascii="Times New Roman" w:hAnsi="Times New Roman" w:cs="Times New Roman"/>
                <w:sz w:val="24"/>
              </w:rPr>
              <w:t>Rīgas Valsts klasiskā</w:t>
            </w:r>
            <w:r w:rsidR="00BA2E0A">
              <w:rPr>
                <w:rFonts w:ascii="Times New Roman" w:hAnsi="Times New Roman" w:cs="Times New Roman"/>
                <w:sz w:val="24"/>
              </w:rPr>
              <w:t>s</w:t>
            </w:r>
            <w:r w:rsidR="004C64DA">
              <w:rPr>
                <w:rFonts w:ascii="Times New Roman" w:hAnsi="Times New Roman" w:cs="Times New Roman"/>
                <w:sz w:val="24"/>
              </w:rPr>
              <w:t xml:space="preserve"> ģimnāzija</w:t>
            </w:r>
            <w:r w:rsidR="00BA2E0A">
              <w:rPr>
                <w:rFonts w:ascii="Times New Roman" w:hAnsi="Times New Roman" w:cs="Times New Roman"/>
                <w:sz w:val="24"/>
              </w:rPr>
              <w:t>s 115.klase un sporta laukums</w:t>
            </w:r>
            <w:r w:rsidR="00EE4092">
              <w:rPr>
                <w:rFonts w:ascii="Times New Roman" w:hAnsi="Times New Roman" w:cs="Times New Roman"/>
                <w:sz w:val="24"/>
              </w:rPr>
              <w:t xml:space="preserve"> (turpmāk - Objekts).</w:t>
            </w:r>
          </w:p>
        </w:tc>
      </w:tr>
      <w:tr w14:paraId="75F228A3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4035FAD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71E4EA0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26B7E82" w14:textId="77777777" w:rsidTr="00984687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D0274D" w:rsidRPr="00E227D8" w:rsidP="00984687" w14:paraId="660DF4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E227D8" w:rsidP="004C64DA" w14:paraId="405EDDB0" w14:textId="19FC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64DA">
              <w:rPr>
                <w:rFonts w:ascii="Times New Roman" w:hAnsi="Times New Roman" w:cs="Times New Roman"/>
                <w:sz w:val="24"/>
              </w:rPr>
              <w:t>Vaidavas iela 6, Rīga</w:t>
            </w:r>
            <w:r w:rsidR="005D3F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D3FA9" w:rsidR="005D3FA9">
              <w:rPr>
                <w:rFonts w:ascii="Times New Roman" w:hAnsi="Times New Roman" w:cs="Times New Roman"/>
                <w:sz w:val="24"/>
              </w:rPr>
              <w:t>LV-1084</w:t>
            </w:r>
            <w:r w:rsidR="005D3FA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27965EF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40E1055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D0274D" w:rsidRPr="00070E23" w:rsidP="00984687" w14:paraId="1396925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058B4DF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E227D8" w:rsidP="00984687" w14:paraId="564830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E227D8" w:rsidP="00984687" w14:paraId="2A6B4592" w14:textId="068AA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69B1" w:rsidR="005269B1">
              <w:rPr>
                <w:rFonts w:ascii="Times New Roman" w:hAnsi="Times New Roman" w:cs="Times New Roman"/>
                <w:sz w:val="24"/>
              </w:rPr>
              <w:t>Rīgas Valsts klasiskā ģimnāzija</w:t>
            </w:r>
          </w:p>
        </w:tc>
      </w:tr>
      <w:tr w14:paraId="0922B09F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161FD01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5D7FC12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EC9292B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E227D8" w:rsidP="00984687" w14:paraId="12DE6C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E227D8" w:rsidP="00984687" w14:paraId="79E2043A" w14:textId="4B84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5269B1" w:rsidR="005269B1">
              <w:rPr>
                <w:rFonts w:ascii="Times New Roman" w:hAnsi="Times New Roman"/>
                <w:color w:val="000000"/>
                <w:sz w:val="24"/>
                <w:szCs w:val="24"/>
              </w:rPr>
              <w:t>40900016278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9B1" w:rsidR="005269B1">
              <w:rPr>
                <w:rFonts w:ascii="Times New Roman" w:hAnsi="Times New Roman"/>
                <w:color w:val="000000"/>
                <w:sz w:val="24"/>
                <w:szCs w:val="24"/>
              </w:rPr>
              <w:t>Purvciema iela 38, Rīga, LV-1035</w:t>
            </w:r>
            <w:r w:rsidR="005269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3FB53A46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363D397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65D1E11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05CAE63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E227D8" w:rsidP="00984687" w14:paraId="268960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9F5518" w:rsidP="00EE4092" w14:paraId="7F399D83" w14:textId="1551609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6584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="00EE4092">
              <w:rPr>
                <w:rFonts w:ascii="Times New Roman" w:hAnsi="Times New Roman" w:cs="Times New Roman"/>
                <w:sz w:val="24"/>
              </w:rPr>
              <w:t>2024.gada 18.marta</w:t>
            </w:r>
            <w:r w:rsidRPr="001865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092">
              <w:rPr>
                <w:rFonts w:ascii="Times New Roman" w:hAnsi="Times New Roman" w:cs="Times New Roman"/>
                <w:sz w:val="24"/>
              </w:rPr>
              <w:t xml:space="preserve">Kirila </w:t>
            </w:r>
            <w:r w:rsidR="00EE4092">
              <w:rPr>
                <w:rFonts w:ascii="Times New Roman" w:hAnsi="Times New Roman" w:cs="Times New Roman"/>
                <w:sz w:val="24"/>
              </w:rPr>
              <w:t>Oševerova</w:t>
            </w:r>
            <w:r w:rsidR="00EE4092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EE4092">
              <w:rPr>
                <w:rFonts w:ascii="Times New Roman" w:hAnsi="Times New Roman" w:cs="Times New Roman"/>
                <w:sz w:val="24"/>
              </w:rPr>
              <w:t>Alenoviča</w:t>
            </w:r>
            <w:r w:rsidRPr="00186584">
              <w:rPr>
                <w:rFonts w:ascii="Times New Roman" w:hAnsi="Times New Roman" w:cs="Times New Roman"/>
                <w:sz w:val="24"/>
              </w:rPr>
              <w:t xml:space="preserve"> iesniegums Nr. b/n, 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584">
              <w:rPr>
                <w:rFonts w:ascii="Times New Roman" w:hAnsi="Times New Roman" w:cs="Times New Roman"/>
                <w:sz w:val="24"/>
              </w:rPr>
              <w:t xml:space="preserve">ugunsdzēsības un glābšanas dienesta Rīgas </w:t>
            </w:r>
            <w:r>
              <w:rPr>
                <w:rFonts w:ascii="Times New Roman" w:hAnsi="Times New Roman" w:cs="Times New Roman"/>
                <w:sz w:val="24"/>
              </w:rPr>
              <w:t>reģiona pārvaldē reģistrēts 2024</w:t>
            </w:r>
            <w:r w:rsidRPr="00186584">
              <w:rPr>
                <w:rFonts w:ascii="Times New Roman" w:hAnsi="Times New Roman" w:cs="Times New Roman"/>
                <w:sz w:val="24"/>
              </w:rPr>
              <w:t xml:space="preserve">.gada </w:t>
            </w:r>
            <w:r w:rsidR="00EE4092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.aprīlī</w:t>
            </w:r>
            <w:r w:rsidRPr="00186584">
              <w:rPr>
                <w:rFonts w:ascii="Times New Roman" w:hAnsi="Times New Roman" w:cs="Times New Roman"/>
                <w:sz w:val="24"/>
              </w:rPr>
              <w:t xml:space="preserve"> ar</w:t>
            </w:r>
            <w:r>
              <w:rPr>
                <w:rFonts w:ascii="Times New Roman" w:hAnsi="Times New Roman" w:cs="Times New Roman"/>
                <w:sz w:val="24"/>
              </w:rPr>
              <w:t xml:space="preserve"> numuru </w:t>
            </w:r>
            <w:r w:rsidRPr="00EE4092" w:rsidR="00EE4092">
              <w:rPr>
                <w:rFonts w:ascii="Times New Roman" w:hAnsi="Times New Roman" w:cs="Times New Roman"/>
                <w:sz w:val="24"/>
              </w:rPr>
              <w:t>22/8-1.5/480</w:t>
            </w:r>
            <w:r w:rsidR="00EE409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73519D30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5E9AF9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7A5A3FE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AF3A27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E227D8" w:rsidP="00984687" w14:paraId="1D081D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E227D8" w:rsidP="005F0AC9" w14:paraId="5B5D69C3" w14:textId="5BCFE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ir nodrošināt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s ar automātisko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</w:t>
            </w:r>
            <w:r w:rsidR="005F0AC9">
              <w:rPr>
                <w:rFonts w:ascii="Times New Roman" w:hAnsi="Times New Roman" w:cs="Times New Roman"/>
                <w:sz w:val="24"/>
                <w:szCs w:val="24"/>
              </w:rPr>
              <w:t xml:space="preserve">ijas sistēmu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ugunsdzēsības aparātiem.</w:t>
            </w:r>
          </w:p>
        </w:tc>
      </w:tr>
      <w:tr w14:paraId="035998B2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4256BB9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146860E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E3F9D57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E227D8" w:rsidP="00984687" w14:paraId="1F4388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69B1" w:rsidRPr="00E227D8" w:rsidP="00984687" w14:paraId="7CE8E900" w14:textId="5444B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DA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8F5C3D7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269B1" w:rsidP="00984687" w14:paraId="068EC0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E05B9" w:rsidRPr="005D3FA9" w:rsidP="00D45F38" w14:paraId="2D7191DE" w14:textId="4C0AEC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Objektā ir veiktas darbības </w:t>
            </w:r>
            <w:r w:rsidR="002102A1">
              <w:rPr>
                <w:rFonts w:ascii="Times New Roman" w:hAnsi="Times New Roman"/>
                <w:color w:val="000000"/>
                <w:sz w:val="24"/>
                <w:szCs w:val="24"/>
              </w:rPr>
              <w:t>automātiskā</w:t>
            </w:r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ugunsgrēka atklāšanas un trauksm</w:t>
            </w:r>
            <w:r w:rsidR="002102A1">
              <w:rPr>
                <w:rFonts w:ascii="Times New Roman" w:hAnsi="Times New Roman"/>
                <w:color w:val="000000"/>
                <w:sz w:val="24"/>
                <w:szCs w:val="24"/>
              </w:rPr>
              <w:t>es signalizācijas sistēmā, kas</w:t>
            </w:r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ietekmē </w:t>
            </w:r>
            <w:r w:rsidR="0021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tās </w:t>
            </w:r>
            <w:r w:rsidR="004D3B26">
              <w:rPr>
                <w:rFonts w:ascii="Times New Roman" w:hAnsi="Times New Roman"/>
                <w:color w:val="000000"/>
                <w:sz w:val="24"/>
                <w:szCs w:val="24"/>
              </w:rPr>
              <w:t>funkciju</w:t>
            </w:r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izpildi, bet tieši, </w:t>
            </w:r>
            <w:r w:rsidR="004D3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vienā cilpā </w:t>
            </w:r>
            <w:r w:rsidR="00C07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nostrādājot </w:t>
            </w:r>
            <w:r w:rsidR="0021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diviem </w:t>
            </w:r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>automātiskās ugunsgrēka atklāšanas un trauksmes signalizācijas sistēmas dūmu detektoriem</w:t>
            </w:r>
            <w:r w:rsidR="002102A1">
              <w:rPr>
                <w:rFonts w:ascii="Times New Roman" w:hAnsi="Times New Roman"/>
                <w:color w:val="000000"/>
                <w:sz w:val="24"/>
                <w:szCs w:val="24"/>
              </w:rPr>
              <w:t>, tiek aizturēts signāls</w:t>
            </w:r>
            <w:r w:rsidR="004D3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 pēdējā detektora</w:t>
            </w:r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3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pilnai reaģēšanai </w:t>
            </w:r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45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otram detektoram </w:t>
            </w:r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>tiek lietota aizture</w:t>
            </w:r>
            <w:r w:rsidR="004D3B26">
              <w:rPr>
                <w:rFonts w:ascii="Times New Roman" w:hAnsi="Times New Roman"/>
                <w:color w:val="000000"/>
                <w:sz w:val="24"/>
                <w:szCs w:val="24"/>
              </w:rPr>
              <w:t>, kā rezultātā nekavējoties neieslēdzas sis</w:t>
            </w:r>
            <w:r w:rsidR="00D45F38">
              <w:rPr>
                <w:rFonts w:ascii="Times New Roman" w:hAnsi="Times New Roman"/>
                <w:color w:val="000000"/>
                <w:sz w:val="24"/>
                <w:szCs w:val="24"/>
              </w:rPr>
              <w:t>tēmas skaņas sirēnas tam iedarbojoties</w:t>
            </w:r>
            <w:bookmarkStart w:id="0" w:name="_GoBack"/>
            <w:bookmarkEnd w:id="0"/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kas aizkavē </w:t>
            </w:r>
            <w:r w:rsidR="00C07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ugunsgrēka atklāšanu, </w:t>
            </w:r>
            <w:r w:rsidRPr="001E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kā rezultātā nav nodrošinātas Ministru kabineta 2016.gada 19.aprīļa noteikumu Nr.238 „Ugunsdrošības noteikumi”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139.1.apakšpunkta prasības.</w:t>
            </w:r>
          </w:p>
        </w:tc>
      </w:tr>
      <w:tr w14:paraId="7298041B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3983BB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0DB4F7E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921FEC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E227D8" w:rsidP="00984687" w14:paraId="4CE264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E227D8" w:rsidP="00984687" w14:paraId="244253B6" w14:textId="0CBC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</w:t>
            </w:r>
            <w:r w:rsidR="005269B1">
              <w:rPr>
                <w:rFonts w:ascii="Times New Roman" w:hAnsi="Times New Roman" w:cs="Times New Roman"/>
                <w:b/>
                <w:sz w:val="24"/>
              </w:rPr>
              <w:t>ne</w:t>
            </w:r>
            <w:r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14:paraId="7D17CCBE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43DF5A0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6A8EA33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6D6B571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E227D8" w:rsidP="00984687" w14:paraId="151680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E227D8" w:rsidP="00984687" w14:paraId="1B4B67B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972BC">
              <w:rPr>
                <w:rFonts w:ascii="Times New Roman" w:hAnsi="Times New Roman" w:cs="Times New Roman"/>
                <w:sz w:val="24"/>
              </w:rPr>
              <w:t xml:space="preserve"> Ministru kabineta 2009.gada 1.septembra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8.5.apakšpunkta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6E1FD5A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070E23" w:rsidP="00984687" w14:paraId="65FB815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7C9E103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E32ABA3" w14:textId="77777777" w:rsidTr="00984687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0274D" w:rsidRPr="00E227D8" w:rsidP="00984687" w14:paraId="36C156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0274D" w:rsidRPr="00E227D8" w:rsidP="00984687" w14:paraId="320D9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t xml:space="preserve"> </w:t>
            </w:r>
            <w:r w:rsidRPr="004E7D51">
              <w:rPr>
                <w:rFonts w:ascii="Times New Roman" w:hAnsi="Times New Roman" w:cs="Times New Roman"/>
                <w:sz w:val="24"/>
              </w:rPr>
              <w:t>Valsts izglītības satura centram.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8E0CAC5" w14:textId="77777777" w:rsidTr="00984687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D0274D" w:rsidRPr="00070E23" w:rsidP="00984687" w14:paraId="08EF7E1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0274D" w:rsidRPr="00070E23" w:rsidP="00984687" w14:paraId="66C5AF3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D0274D" w:rsidP="00D0274D" w14:paraId="72CFBAF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D0274D" w:rsidRPr="007D2C05" w:rsidP="00D0274D" w14:paraId="26444F9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0274D" w:rsidRPr="007D2C05" w:rsidP="00D0274D" w14:paraId="25AD9CEF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59B9B2DF" w14:textId="77777777" w:rsidTr="00984687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D0274D" w:rsidRPr="00B245E2" w:rsidP="00984687" w14:paraId="106A51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150DE1F" w14:textId="77777777" w:rsidTr="00984687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D0274D" w:rsidRPr="00B245E2" w:rsidP="00984687" w14:paraId="440FE85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D0274D" w:rsidP="00D0274D" w14:paraId="06660B8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55CFD31D" w14:textId="77777777" w:rsidTr="00984687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D0274D" w:rsidRPr="007D2C05" w:rsidP="00984687" w14:paraId="13D5F4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D0274D" w:rsidRPr="007D2C05" w:rsidP="00984687" w14:paraId="1206D3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274D" w:rsidRPr="007D2C05" w:rsidP="00984687" w14:paraId="2AEF6F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0274D" w:rsidRPr="007D2C05" w:rsidP="00984687" w14:paraId="3EA72E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D0274D" w:rsidRPr="007D2C05" w:rsidP="00984687" w14:paraId="2EA046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Markovs</w:t>
            </w:r>
          </w:p>
        </w:tc>
      </w:tr>
      <w:tr w14:paraId="52F3E0EA" w14:textId="77777777" w:rsidTr="00984687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D0274D" w:rsidRPr="00B245E2" w:rsidP="00984687" w14:paraId="20E2E7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D0274D" w:rsidRPr="00B245E2" w:rsidP="00984687" w14:paraId="3BE1F0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274D" w:rsidRPr="00B245E2" w:rsidP="00984687" w14:paraId="65DC84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D0274D" w:rsidRPr="00B245E2" w:rsidP="00984687" w14:paraId="57CAA1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D0274D" w:rsidRPr="00B245E2" w:rsidP="00984687" w14:paraId="139EEC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D0274D" w:rsidP="00D0274D" w14:paraId="71086046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274D" w:rsidP="00D0274D" w14:paraId="6962538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73C31AE1" w14:textId="77777777" w:rsidTr="00984687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D0274D" w:rsidP="00984687" w14:paraId="7C2AD2FB" w14:textId="09BB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e-pastu: </w:t>
            </w:r>
            <w:r w:rsidRPr="00AD542B" w:rsidR="00AD542B">
              <w:rPr>
                <w:rFonts w:ascii="Times New Roman" w:hAnsi="Times New Roman" w:cs="Times New Roman"/>
                <w:sz w:val="24"/>
                <w:szCs w:val="24"/>
              </w:rPr>
              <w:t>kirillosheverov@gmail.com</w:t>
            </w:r>
          </w:p>
        </w:tc>
        <w:tc>
          <w:tcPr>
            <w:tcW w:w="284" w:type="dxa"/>
            <w:vAlign w:val="bottom"/>
          </w:tcPr>
          <w:p w:rsidR="00D0274D" w:rsidP="00984687" w14:paraId="11ECD3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D0274D" w:rsidP="00984687" w14:paraId="458754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550184F" w14:textId="77777777" w:rsidTr="00984687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D0274D" w:rsidRPr="007D2C05" w:rsidP="00984687" w14:paraId="1EEB27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D0274D" w:rsidRPr="007D2C05" w:rsidP="00984687" w14:paraId="3E5318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D0274D" w:rsidRPr="007D2C05" w:rsidP="00984687" w14:paraId="14E737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D0274D" w:rsidP="00D0274D" w14:paraId="6CC1391B" w14:textId="77777777">
      <w:pPr>
        <w:rPr>
          <w:rFonts w:ascii="Times New Roman" w:hAnsi="Times New Roman" w:cs="Times New Roman"/>
          <w:sz w:val="24"/>
          <w:szCs w:val="24"/>
        </w:rPr>
      </w:pPr>
    </w:p>
    <w:p w:rsidR="00D0274D" w:rsidP="00D0274D" w14:paraId="4BB8B9A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D0274D" w:rsidP="00D0274D" w14:paraId="08B7AE8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74D" w:rsidP="00D0274D" w14:paraId="09AEA5D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74D" w:rsidRPr="00762AE8" w:rsidP="00D0274D" w14:paraId="0C1C0EA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D0274D" w:rsidRPr="00762AE8" w:rsidP="00D0274D" w14:paraId="2B6BF53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6962E5" w:rsidRPr="00762AE8" w:rsidP="006962E5" w14:paraId="67AA135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68645943"/>
      <w:docPartObj>
        <w:docPartGallery w:val="Page Numbers (Top of Page)"/>
        <w:docPartUnique/>
      </w:docPartObj>
    </w:sdtPr>
    <w:sdtContent>
      <w:p w:rsidR="00E227D8" w:rsidRPr="00762AE8" w14:paraId="33BB03F9" w14:textId="6AE2BCF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02A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8942C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0407749A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409A8"/>
    <w:rsid w:val="00070E23"/>
    <w:rsid w:val="000C241B"/>
    <w:rsid w:val="000D3E6E"/>
    <w:rsid w:val="00124D71"/>
    <w:rsid w:val="00130CCD"/>
    <w:rsid w:val="0015650A"/>
    <w:rsid w:val="00186584"/>
    <w:rsid w:val="001A687C"/>
    <w:rsid w:val="001E05B9"/>
    <w:rsid w:val="001F2E42"/>
    <w:rsid w:val="002102A1"/>
    <w:rsid w:val="00260584"/>
    <w:rsid w:val="00281811"/>
    <w:rsid w:val="00295194"/>
    <w:rsid w:val="003437F5"/>
    <w:rsid w:val="00346269"/>
    <w:rsid w:val="0035000E"/>
    <w:rsid w:val="00387C99"/>
    <w:rsid w:val="00390F52"/>
    <w:rsid w:val="003972BC"/>
    <w:rsid w:val="003B78D3"/>
    <w:rsid w:val="003D5C3F"/>
    <w:rsid w:val="00426EBD"/>
    <w:rsid w:val="00441E69"/>
    <w:rsid w:val="00476420"/>
    <w:rsid w:val="00483BBB"/>
    <w:rsid w:val="004901B0"/>
    <w:rsid w:val="004B03FF"/>
    <w:rsid w:val="004B095D"/>
    <w:rsid w:val="004B6422"/>
    <w:rsid w:val="004C64DA"/>
    <w:rsid w:val="004D3B26"/>
    <w:rsid w:val="004E6B03"/>
    <w:rsid w:val="004E7D51"/>
    <w:rsid w:val="004F2F23"/>
    <w:rsid w:val="004F3420"/>
    <w:rsid w:val="005269B1"/>
    <w:rsid w:val="00561B63"/>
    <w:rsid w:val="00590A28"/>
    <w:rsid w:val="005D1C44"/>
    <w:rsid w:val="005D3FA9"/>
    <w:rsid w:val="005D635A"/>
    <w:rsid w:val="005F0AC9"/>
    <w:rsid w:val="00633E76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8E73D5"/>
    <w:rsid w:val="00921AD0"/>
    <w:rsid w:val="00922C9D"/>
    <w:rsid w:val="00964438"/>
    <w:rsid w:val="00972810"/>
    <w:rsid w:val="0097786E"/>
    <w:rsid w:val="00984687"/>
    <w:rsid w:val="009F5518"/>
    <w:rsid w:val="00A025C5"/>
    <w:rsid w:val="00A24FDC"/>
    <w:rsid w:val="00A47DBC"/>
    <w:rsid w:val="00A5100D"/>
    <w:rsid w:val="00AD542B"/>
    <w:rsid w:val="00B00630"/>
    <w:rsid w:val="00B245E2"/>
    <w:rsid w:val="00B42A8D"/>
    <w:rsid w:val="00B53A6F"/>
    <w:rsid w:val="00B60EAD"/>
    <w:rsid w:val="00B97A08"/>
    <w:rsid w:val="00BA2E0A"/>
    <w:rsid w:val="00BE4E1E"/>
    <w:rsid w:val="00C07822"/>
    <w:rsid w:val="00C07D3C"/>
    <w:rsid w:val="00C33E3A"/>
    <w:rsid w:val="00C51BBF"/>
    <w:rsid w:val="00C522E2"/>
    <w:rsid w:val="00C946FD"/>
    <w:rsid w:val="00C959F6"/>
    <w:rsid w:val="00CD1CAC"/>
    <w:rsid w:val="00D0274D"/>
    <w:rsid w:val="00D45F38"/>
    <w:rsid w:val="00D46F82"/>
    <w:rsid w:val="00D639C2"/>
    <w:rsid w:val="00DA0A47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EE4092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D1FCF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Jana Āboliņa</cp:lastModifiedBy>
  <cp:revision>19</cp:revision>
  <dcterms:created xsi:type="dcterms:W3CDTF">2022-12-19T10:05:00Z</dcterms:created>
  <dcterms:modified xsi:type="dcterms:W3CDTF">2024-04-11T12:44:00Z</dcterms:modified>
</cp:coreProperties>
</file>