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FF4658">
              <w:rPr>
                <w:bCs/>
                <w:noProof/>
                <w:sz w:val="22"/>
                <w:szCs w:val="22"/>
              </w:rPr>
              <w:t>2.0</w:t>
            </w:r>
            <w:r>
              <w:rPr>
                <w:bCs/>
                <w:noProof/>
                <w:sz w:val="22"/>
                <w:szCs w:val="22"/>
              </w:rPr>
              <w:t>5</w:t>
            </w:r>
            <w:r w:rsidR="00FF4658">
              <w:rPr>
                <w:bCs/>
                <w:noProof/>
                <w:sz w:val="22"/>
                <w:szCs w:val="22"/>
              </w:rPr>
              <w:t>.202</w:t>
            </w:r>
            <w:r>
              <w:rPr>
                <w:bCs/>
                <w:noProof/>
                <w:sz w:val="22"/>
                <w:szCs w:val="22"/>
              </w:rPr>
              <w:t>3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5D576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C4C8F" w:rsidR="0070110A">
              <w:rPr>
                <w:sz w:val="24"/>
                <w:lang w:val="lv-LV"/>
              </w:rPr>
              <w:t>Bērnu dienas</w:t>
            </w:r>
            <w:r w:rsidR="0070110A">
              <w:rPr>
                <w:b/>
                <w:sz w:val="24"/>
                <w:lang w:val="lv-LV"/>
              </w:rPr>
              <w:t xml:space="preserve"> </w:t>
            </w:r>
            <w:r w:rsidRPr="00C66B8A" w:rsidR="00C66B8A">
              <w:rPr>
                <w:bCs/>
                <w:sz w:val="24"/>
                <w:lang w:val="lv-LV"/>
              </w:rPr>
              <w:t>nometne</w:t>
            </w:r>
            <w:r w:rsidR="00C66B8A">
              <w:rPr>
                <w:b/>
                <w:sz w:val="24"/>
                <w:lang w:val="lv-LV"/>
              </w:rPr>
              <w:t xml:space="preserve"> </w:t>
            </w:r>
            <w:r w:rsidRPr="004A4443" w:rsidR="0070110A">
              <w:rPr>
                <w:sz w:val="24"/>
                <w:lang w:val="lv-LV"/>
              </w:rPr>
              <w:t>„</w:t>
            </w:r>
            <w:r w:rsidRPr="00DC4C8F" w:rsidR="0070110A">
              <w:rPr>
                <w:sz w:val="24"/>
                <w:lang w:val="lv-LV"/>
              </w:rPr>
              <w:t>ROBO HUB izgl</w:t>
            </w:r>
            <w:r w:rsidR="0070110A">
              <w:rPr>
                <w:sz w:val="24"/>
                <w:lang w:val="lv-LV"/>
              </w:rPr>
              <w:t>ītojošās robotikas VASARAS`2</w:t>
            </w:r>
            <w:r w:rsidR="00C66B8A">
              <w:rPr>
                <w:sz w:val="24"/>
                <w:lang w:val="lv-LV"/>
              </w:rPr>
              <w:t>3</w:t>
            </w:r>
            <w:r w:rsidR="0070110A">
              <w:rPr>
                <w:sz w:val="24"/>
                <w:lang w:val="lv-LV"/>
              </w:rPr>
              <w:t xml:space="preserve"> </w:t>
            </w:r>
            <w:r w:rsidR="00C66B8A">
              <w:rPr>
                <w:sz w:val="24"/>
                <w:lang w:val="lv-LV"/>
              </w:rPr>
              <w:t xml:space="preserve">dienas </w:t>
            </w:r>
            <w:r w:rsidRPr="00DC4C8F" w:rsidR="0070110A">
              <w:rPr>
                <w:sz w:val="24"/>
                <w:lang w:val="lv-LV"/>
              </w:rPr>
              <w:t>nometne</w:t>
            </w:r>
            <w:r w:rsidR="0070110A">
              <w:rPr>
                <w:sz w:val="24"/>
                <w:lang w:val="lv-LV"/>
              </w:rPr>
              <w:t>”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9359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C4C8F" w:rsidR="0070110A">
              <w:rPr>
                <w:sz w:val="24"/>
                <w:lang w:val="lv-LV"/>
              </w:rPr>
              <w:t xml:space="preserve">Nomnieks </w:t>
            </w:r>
            <w:r w:rsidR="0070110A">
              <w:rPr>
                <w:sz w:val="24"/>
                <w:lang w:val="lv-LV"/>
              </w:rPr>
              <w:t xml:space="preserve">- </w:t>
            </w:r>
            <w:r w:rsidRPr="00DC4C8F" w:rsidR="0070110A">
              <w:rPr>
                <w:sz w:val="24"/>
                <w:lang w:val="lv-LV"/>
              </w:rPr>
              <w:t xml:space="preserve">Sabiedrība ar ierobežotu atbildību “ROBO HUB”, </w:t>
            </w:r>
            <w:r w:rsidRPr="00DC4C8F" w:rsidR="0070110A">
              <w:rPr>
                <w:sz w:val="24"/>
                <w:lang w:val="lv-LV"/>
              </w:rPr>
              <w:t>reģ</w:t>
            </w:r>
            <w:r w:rsidRPr="00DC4C8F" w:rsidR="0070110A">
              <w:rPr>
                <w:sz w:val="24"/>
                <w:lang w:val="lv-LV"/>
              </w:rPr>
              <w:t xml:space="preserve">. </w:t>
            </w:r>
            <w:r w:rsidR="00980B4B">
              <w:rPr>
                <w:sz w:val="24"/>
                <w:lang w:val="lv-LV"/>
              </w:rPr>
              <w:t xml:space="preserve">    </w:t>
            </w:r>
            <w:r w:rsidRPr="00DC4C8F" w:rsidR="0070110A">
              <w:rPr>
                <w:sz w:val="24"/>
                <w:lang w:val="lv-LV"/>
              </w:rPr>
              <w:t>Nr.</w:t>
            </w:r>
            <w:r w:rsidR="00980B4B">
              <w:rPr>
                <w:sz w:val="24"/>
                <w:lang w:val="lv-LV"/>
              </w:rPr>
              <w:t xml:space="preserve"> </w:t>
            </w:r>
            <w:r w:rsidRPr="00DC4C8F" w:rsidR="0070110A">
              <w:rPr>
                <w:sz w:val="24"/>
                <w:lang w:val="lv-LV"/>
              </w:rPr>
              <w:t>40203001250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524E5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0110A">
              <w:rPr>
                <w:sz w:val="24"/>
                <w:lang w:val="lv-LV"/>
              </w:rPr>
              <w:t xml:space="preserve">Brīvības gatve 224, </w:t>
            </w:r>
            <w:r w:rsidRPr="00DC4C8F" w:rsidR="0070110A">
              <w:rPr>
                <w:sz w:val="24"/>
                <w:lang w:val="lv-LV"/>
              </w:rPr>
              <w:t>1</w:t>
            </w:r>
            <w:r w:rsidR="0070110A">
              <w:rPr>
                <w:sz w:val="24"/>
                <w:lang w:val="lv-LV"/>
              </w:rPr>
              <w:t xml:space="preserve"> korpuss (2.stāvs)</w:t>
            </w:r>
            <w:r w:rsidRPr="00DC4C8F" w:rsidR="0070110A">
              <w:rPr>
                <w:sz w:val="24"/>
                <w:lang w:val="lv-LV"/>
              </w:rPr>
              <w:t>, Rīga</w:t>
            </w:r>
          </w:p>
        </w:tc>
      </w:tr>
      <w:tr w:rsidTr="00C93598">
        <w:tblPrEx>
          <w:tblW w:w="0" w:type="auto"/>
          <w:tblInd w:w="108" w:type="dxa"/>
          <w:tblLook w:val="04A0"/>
        </w:tblPrEx>
        <w:trPr>
          <w:trHeight w:val="32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915CB9" w:rsidP="00EF612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C93598">
              <w:rPr>
                <w:b/>
                <w:sz w:val="24"/>
                <w:lang w:val="lv-LV"/>
              </w:rPr>
              <w:t xml:space="preserve"> </w:t>
            </w:r>
            <w:r w:rsidRPr="00C66B8A" w:rsidR="00C66B8A">
              <w:rPr>
                <w:bCs/>
                <w:sz w:val="24"/>
                <w:lang w:val="lv-LV"/>
              </w:rPr>
              <w:t>1</w:t>
            </w:r>
            <w:r w:rsidR="0070110A">
              <w:rPr>
                <w:sz w:val="24"/>
                <w:lang w:val="lv-LV"/>
              </w:rPr>
              <w:t>2</w:t>
            </w:r>
            <w:r w:rsidR="00EF6129">
              <w:rPr>
                <w:sz w:val="24"/>
                <w:lang w:val="lv-LV"/>
              </w:rPr>
              <w:t>.0</w:t>
            </w:r>
            <w:r w:rsidR="00C66B8A">
              <w:rPr>
                <w:sz w:val="24"/>
                <w:lang w:val="lv-LV"/>
              </w:rPr>
              <w:t>5</w:t>
            </w:r>
            <w:r w:rsidRPr="00C93598" w:rsidR="00C93598">
              <w:rPr>
                <w:sz w:val="24"/>
                <w:lang w:val="lv-LV"/>
              </w:rPr>
              <w:t>.202</w:t>
            </w:r>
            <w:r w:rsidR="00C66B8A">
              <w:rPr>
                <w:sz w:val="24"/>
                <w:lang w:val="lv-LV"/>
              </w:rPr>
              <w:t>3</w:t>
            </w:r>
            <w:r w:rsidRPr="00C93598" w:rsidR="00C93598">
              <w:rPr>
                <w:sz w:val="24"/>
                <w:lang w:val="lv-LV"/>
              </w:rPr>
              <w:t xml:space="preserve">. </w:t>
            </w:r>
            <w:r w:rsidR="00C66B8A">
              <w:rPr>
                <w:sz w:val="24"/>
                <w:lang w:val="lv-LV"/>
              </w:rPr>
              <w:t>higiēnas ārste Nataļja Vorobjova</w:t>
            </w:r>
            <w:r w:rsidR="00EF6129">
              <w:rPr>
                <w:sz w:val="24"/>
                <w:lang w:val="lv-LV"/>
              </w:rPr>
              <w:t xml:space="preserve">, pamatojoties uz </w:t>
            </w:r>
            <w:r w:rsidR="00C66B8A">
              <w:rPr>
                <w:sz w:val="24"/>
                <w:lang w:val="lv-LV"/>
              </w:rPr>
              <w:t>03</w:t>
            </w:r>
            <w:r w:rsidRPr="00DC4C8F" w:rsidR="0070110A">
              <w:rPr>
                <w:sz w:val="24"/>
                <w:lang w:val="lv-LV"/>
              </w:rPr>
              <w:t>.</w:t>
            </w:r>
            <w:r w:rsidR="00C66B8A">
              <w:rPr>
                <w:sz w:val="24"/>
                <w:lang w:val="lv-LV"/>
              </w:rPr>
              <w:t>10</w:t>
            </w:r>
            <w:r w:rsidRPr="00DC4C8F" w:rsidR="0070110A">
              <w:rPr>
                <w:sz w:val="24"/>
                <w:lang w:val="lv-LV"/>
              </w:rPr>
              <w:t>.202</w:t>
            </w:r>
            <w:r w:rsidR="00C66B8A">
              <w:rPr>
                <w:sz w:val="24"/>
                <w:lang w:val="lv-LV"/>
              </w:rPr>
              <w:t>2</w:t>
            </w:r>
            <w:r w:rsidRPr="00DC4C8F" w:rsidR="0070110A">
              <w:rPr>
                <w:sz w:val="24"/>
                <w:lang w:val="lv-LV"/>
              </w:rPr>
              <w:t>.</w:t>
            </w:r>
            <w:r w:rsidR="0070110A">
              <w:rPr>
                <w:sz w:val="24"/>
                <w:lang w:val="lv-LV"/>
              </w:rPr>
              <w:t xml:space="preserve"> veikto </w:t>
            </w:r>
            <w:r w:rsidR="0070110A">
              <w:rPr>
                <w:sz w:val="24"/>
                <w:lang w:val="lv-LV"/>
              </w:rPr>
              <w:t>apsekojumu</w:t>
            </w:r>
            <w:r w:rsidR="0070110A">
              <w:rPr>
                <w:sz w:val="24"/>
                <w:lang w:val="lv-LV"/>
              </w:rPr>
              <w:t xml:space="preserve"> un Veselības inspekcijas </w:t>
            </w:r>
            <w:r w:rsidR="00C66B8A">
              <w:rPr>
                <w:sz w:val="24"/>
                <w:lang w:val="lv-LV"/>
              </w:rPr>
              <w:t>07</w:t>
            </w:r>
            <w:r w:rsidR="0070110A">
              <w:rPr>
                <w:sz w:val="24"/>
                <w:lang w:val="lv-LV"/>
              </w:rPr>
              <w:t>.</w:t>
            </w:r>
            <w:r w:rsidR="00C66B8A">
              <w:rPr>
                <w:sz w:val="24"/>
                <w:lang w:val="lv-LV"/>
              </w:rPr>
              <w:t>1</w:t>
            </w:r>
            <w:r w:rsidR="0070110A">
              <w:rPr>
                <w:sz w:val="24"/>
                <w:lang w:val="lv-LV"/>
              </w:rPr>
              <w:t>0.202</w:t>
            </w:r>
            <w:r w:rsidR="00C66B8A">
              <w:rPr>
                <w:sz w:val="24"/>
                <w:lang w:val="lv-LV"/>
              </w:rPr>
              <w:t>2</w:t>
            </w:r>
            <w:r w:rsidR="0070110A">
              <w:rPr>
                <w:sz w:val="24"/>
                <w:lang w:val="lv-LV"/>
              </w:rPr>
              <w:t xml:space="preserve">. Atzinumu Nr. </w:t>
            </w:r>
            <w:r w:rsidR="00C66B8A">
              <w:rPr>
                <w:sz w:val="24"/>
                <w:lang w:val="lv-LV"/>
              </w:rPr>
              <w:t>2.</w:t>
            </w:r>
            <w:r w:rsidRPr="0070110A" w:rsidR="0070110A">
              <w:rPr>
                <w:sz w:val="24"/>
                <w:lang w:val="lv-LV"/>
              </w:rPr>
              <w:t>4.5.-8./</w:t>
            </w:r>
            <w:r w:rsidR="00C66B8A">
              <w:rPr>
                <w:sz w:val="24"/>
                <w:lang w:val="lv-LV"/>
              </w:rPr>
              <w:t>1077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70110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="00EB5912">
              <w:rPr>
                <w:b/>
                <w:sz w:val="24"/>
                <w:lang w:val="lv-LV"/>
              </w:rPr>
              <w:t xml:space="preserve">: </w:t>
            </w:r>
            <w:r w:rsidR="0070110A">
              <w:rPr>
                <w:sz w:val="24"/>
                <w:lang w:val="lv-LV"/>
              </w:rPr>
              <w:t xml:space="preserve">Nometnes vadītāja - </w:t>
            </w:r>
            <w:r w:rsidRPr="0070110A" w:rsidR="0070110A">
              <w:rPr>
                <w:sz w:val="24"/>
                <w:lang w:val="lv-LV"/>
              </w:rPr>
              <w:t>Felicita Zatlere-Kotāne</w:t>
            </w:r>
          </w:p>
        </w:tc>
      </w:tr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43F4A" w:rsidP="00D84C4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740A13" w:rsidRPr="00915CB9" w:rsidP="00F104EF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DC4C8F">
              <w:rPr>
                <w:sz w:val="24"/>
                <w:lang w:val="lv-LV"/>
              </w:rPr>
              <w:t>Bērnu dienas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C66B8A">
              <w:rPr>
                <w:bCs/>
                <w:sz w:val="24"/>
                <w:lang w:val="lv-LV"/>
              </w:rPr>
              <w:t>nometne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4A4443">
              <w:rPr>
                <w:sz w:val="24"/>
                <w:lang w:val="lv-LV"/>
              </w:rPr>
              <w:t>„</w:t>
            </w:r>
            <w:r w:rsidRPr="00DC4C8F">
              <w:rPr>
                <w:sz w:val="24"/>
                <w:lang w:val="lv-LV"/>
              </w:rPr>
              <w:t>ROBO HUB izgl</w:t>
            </w:r>
            <w:r>
              <w:rPr>
                <w:sz w:val="24"/>
                <w:lang w:val="lv-LV"/>
              </w:rPr>
              <w:t xml:space="preserve">ītojošās robotikas VASARAS`23 dienas </w:t>
            </w:r>
            <w:r w:rsidRPr="00DC4C8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>”</w:t>
            </w:r>
            <w:r w:rsidR="0070110A">
              <w:rPr>
                <w:sz w:val="24"/>
                <w:lang w:val="lv-LV"/>
              </w:rPr>
              <w:t xml:space="preserve"> </w:t>
            </w:r>
            <w:r w:rsidR="00000000">
              <w:rPr>
                <w:sz w:val="24"/>
                <w:lang w:val="lv-LV"/>
              </w:rPr>
              <w:t>norisināsies laika</w:t>
            </w:r>
            <w:r w:rsidR="0070110A">
              <w:rPr>
                <w:sz w:val="24"/>
                <w:lang w:val="lv-LV"/>
              </w:rPr>
              <w:t xml:space="preserve"> periodā no 0</w:t>
            </w:r>
            <w:r>
              <w:rPr>
                <w:sz w:val="24"/>
                <w:lang w:val="lv-LV"/>
              </w:rPr>
              <w:t>5</w:t>
            </w:r>
            <w:r w:rsidR="0070110A">
              <w:rPr>
                <w:sz w:val="24"/>
                <w:lang w:val="lv-LV"/>
              </w:rPr>
              <w:t>.06.202</w:t>
            </w:r>
            <w:r>
              <w:rPr>
                <w:sz w:val="24"/>
                <w:lang w:val="lv-LV"/>
              </w:rPr>
              <w:t>3</w:t>
            </w:r>
            <w:r w:rsidR="0070110A">
              <w:rPr>
                <w:sz w:val="24"/>
                <w:lang w:val="lv-LV"/>
              </w:rPr>
              <w:t xml:space="preserve">. līdz </w:t>
            </w:r>
            <w:r>
              <w:rPr>
                <w:sz w:val="24"/>
                <w:lang w:val="lv-LV"/>
              </w:rPr>
              <w:t>31</w:t>
            </w:r>
            <w:r w:rsidR="0070110A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8</w:t>
            </w:r>
            <w:r w:rsidR="0070110A">
              <w:rPr>
                <w:sz w:val="24"/>
                <w:lang w:val="lv-LV"/>
              </w:rPr>
              <w:t>.202</w:t>
            </w:r>
            <w:r>
              <w:rPr>
                <w:sz w:val="24"/>
                <w:lang w:val="lv-LV"/>
              </w:rPr>
              <w:t>3</w:t>
            </w:r>
            <w:r w:rsidR="0070110A">
              <w:rPr>
                <w:sz w:val="24"/>
                <w:lang w:val="lv-LV"/>
              </w:rPr>
              <w:t>. i</w:t>
            </w:r>
            <w:r w:rsidRPr="0070110A" w:rsidR="0070110A">
              <w:rPr>
                <w:sz w:val="24"/>
                <w:lang w:val="lv-LV"/>
              </w:rPr>
              <w:t>nterešu izglītības iestādes „</w:t>
            </w:r>
            <w:r w:rsidR="0070110A">
              <w:rPr>
                <w:sz w:val="24"/>
                <w:lang w:val="lv-LV"/>
              </w:rPr>
              <w:t xml:space="preserve">Robotikas Skola” </w:t>
            </w:r>
            <w:r>
              <w:rPr>
                <w:sz w:val="24"/>
                <w:lang w:val="lv-LV"/>
              </w:rPr>
              <w:t xml:space="preserve">(turpmāk- Skola) </w:t>
            </w:r>
            <w:r w:rsidRPr="0070110A" w:rsidR="0070110A">
              <w:rPr>
                <w:sz w:val="24"/>
                <w:lang w:val="lv-LV"/>
              </w:rPr>
              <w:t>2.</w:t>
            </w:r>
            <w:r w:rsidR="0070110A">
              <w:rPr>
                <w:sz w:val="24"/>
                <w:lang w:val="lv-LV"/>
              </w:rPr>
              <w:t xml:space="preserve"> </w:t>
            </w:r>
            <w:r w:rsidRPr="0070110A" w:rsidR="0070110A">
              <w:rPr>
                <w:sz w:val="24"/>
                <w:lang w:val="lv-LV"/>
              </w:rPr>
              <w:t>stāva telpās</w:t>
            </w:r>
            <w:r w:rsidR="0070110A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Iepriekšējā Skolas </w:t>
            </w:r>
            <w:r>
              <w:rPr>
                <w:sz w:val="24"/>
                <w:lang w:val="lv-LV"/>
              </w:rPr>
              <w:t>higiēniskā novērtēšana tika veikta 0</w:t>
            </w:r>
            <w:r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>.1</w:t>
            </w:r>
            <w:r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22</w:t>
            </w:r>
            <w:r>
              <w:rPr>
                <w:sz w:val="24"/>
                <w:lang w:val="lv-LV"/>
              </w:rPr>
              <w:t xml:space="preserve">. Rezultātā tika sagatavots Veselības inspekcijas </w:t>
            </w:r>
            <w:r>
              <w:rPr>
                <w:sz w:val="24"/>
                <w:lang w:val="lv-LV"/>
              </w:rPr>
              <w:t>07</w:t>
            </w:r>
            <w:r w:rsidRPr="00EC559F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>0</w:t>
            </w:r>
            <w:r w:rsidRPr="00EC559F">
              <w:rPr>
                <w:sz w:val="24"/>
                <w:lang w:val="lv-LV"/>
              </w:rPr>
              <w:t>.20</w:t>
            </w:r>
            <w:r>
              <w:rPr>
                <w:sz w:val="24"/>
                <w:lang w:val="lv-LV"/>
              </w:rPr>
              <w:t>22</w:t>
            </w:r>
            <w:r>
              <w:rPr>
                <w:sz w:val="24"/>
                <w:lang w:val="lv-LV"/>
              </w:rPr>
              <w:t xml:space="preserve">. atzinums par objekta gatavību darbības </w:t>
            </w:r>
            <w:r>
              <w:rPr>
                <w:sz w:val="24"/>
                <w:lang w:val="lv-LV"/>
              </w:rPr>
              <w:t xml:space="preserve">turpināšanai </w:t>
            </w:r>
            <w:r>
              <w:rPr>
                <w:sz w:val="24"/>
                <w:lang w:val="lv-LV"/>
              </w:rPr>
              <w:t xml:space="preserve"> Nr. 2.</w:t>
            </w:r>
            <w:r>
              <w:rPr>
                <w:sz w:val="24"/>
                <w:lang w:val="lv-LV"/>
              </w:rPr>
              <w:t>4.5</w:t>
            </w:r>
            <w:r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-8/1077 ar slēdzienu , ka Skola atbilst higiēnas prasībām. Nometnes vajadzībām tiks izmantotas visas Skolas telpas.</w:t>
            </w:r>
            <w:r>
              <w:rPr>
                <w:sz w:val="24"/>
                <w:lang w:val="lv-LV"/>
              </w:rPr>
              <w:t xml:space="preserve"> </w:t>
            </w:r>
            <w:r w:rsidRPr="00F104EF" w:rsidR="00000000">
              <w:rPr>
                <w:sz w:val="24"/>
                <w:lang w:val="lv-LV"/>
              </w:rPr>
              <w:t>Nometnes tiek organizētas visas vasaras garumā</w:t>
            </w:r>
            <w:r w:rsidR="00000000">
              <w:rPr>
                <w:sz w:val="24"/>
                <w:lang w:val="lv-LV"/>
              </w:rPr>
              <w:t xml:space="preserve"> katru nedēļu, no plkst. 8:00 līdz 16:30</w:t>
            </w:r>
            <w:r>
              <w:rPr>
                <w:sz w:val="24"/>
                <w:lang w:val="lv-LV"/>
              </w:rPr>
              <w:t xml:space="preserve">. </w:t>
            </w:r>
            <w:r w:rsidR="00000000">
              <w:rPr>
                <w:sz w:val="24"/>
                <w:lang w:val="lv-LV"/>
              </w:rPr>
              <w:t>Kopā 1</w:t>
            </w:r>
            <w:r>
              <w:rPr>
                <w:sz w:val="24"/>
                <w:lang w:val="lv-LV"/>
              </w:rPr>
              <w:t>3</w:t>
            </w:r>
            <w:r w:rsidR="00000000">
              <w:rPr>
                <w:sz w:val="24"/>
                <w:lang w:val="lv-LV"/>
              </w:rPr>
              <w:t xml:space="preserve"> nometnes un katrā nometnē piedalīsies 36 dalībnieki. Dalībnieku vecums no 5 līdz 12 gadiem. </w:t>
            </w:r>
            <w:r w:rsidRPr="00F104EF" w:rsidR="00000000">
              <w:rPr>
                <w:sz w:val="24"/>
                <w:lang w:val="lv-LV"/>
              </w:rPr>
              <w:t xml:space="preserve">Skolas kopējā platība </w:t>
            </w:r>
            <w:r w:rsidR="00000000">
              <w:rPr>
                <w:sz w:val="24"/>
                <w:lang w:val="lv-LV"/>
              </w:rPr>
              <w:t xml:space="preserve">- </w:t>
            </w:r>
            <w:r w:rsidRPr="00F104EF" w:rsidR="00000000">
              <w:rPr>
                <w:sz w:val="24"/>
                <w:lang w:val="lv-LV"/>
              </w:rPr>
              <w:t>202 m</w:t>
            </w:r>
            <w:r w:rsidRPr="00F104EF" w:rsidR="00000000">
              <w:rPr>
                <w:sz w:val="24"/>
                <w:vertAlign w:val="superscript"/>
                <w:lang w:val="lv-LV"/>
              </w:rPr>
              <w:t>2</w:t>
            </w:r>
            <w:r w:rsidRPr="00F104EF" w:rsidR="00000000">
              <w:rPr>
                <w:sz w:val="24"/>
                <w:lang w:val="lv-LV"/>
              </w:rPr>
              <w:t>.</w:t>
            </w:r>
            <w:r w:rsidR="00000000">
              <w:rPr>
                <w:sz w:val="24"/>
                <w:lang w:val="lv-LV"/>
              </w:rPr>
              <w:t xml:space="preserve"> Telpu sastāvā ir mācību telpas un sanitārie mezgli. Telpu higiēniskais stāvoklis ir </w:t>
            </w:r>
            <w:r w:rsidRPr="00915CB9" w:rsidR="00000000">
              <w:rPr>
                <w:sz w:val="24"/>
                <w:lang w:val="lv-LV"/>
              </w:rPr>
              <w:t>apmierinošs</w:t>
            </w:r>
            <w:r w:rsidR="00000000">
              <w:rPr>
                <w:sz w:val="24"/>
                <w:lang w:val="lv-LV"/>
              </w:rPr>
              <w:t>. P</w:t>
            </w:r>
            <w:r w:rsidRPr="00C57329" w:rsidR="00000000">
              <w:rPr>
                <w:sz w:val="24"/>
                <w:lang w:val="lv-LV"/>
              </w:rPr>
              <w:t>ersonīgās higiēnas ievērošanas apstākļi ir nodrošināti, iekārtas atrodas darba kārtībā</w:t>
            </w:r>
            <w:r w:rsidRPr="00915CB9" w:rsidR="00000000">
              <w:rPr>
                <w:sz w:val="24"/>
                <w:lang w:val="lv-LV"/>
              </w:rPr>
              <w:t>.</w:t>
            </w:r>
            <w:r w:rsidRPr="00F104EF" w:rsidR="00000000">
              <w:rPr>
                <w:lang w:val="lv-LV"/>
              </w:rPr>
              <w:t xml:space="preserve"> </w:t>
            </w:r>
            <w:r w:rsidRPr="00F104EF" w:rsidR="00000000">
              <w:rPr>
                <w:sz w:val="24"/>
                <w:lang w:val="lv-LV"/>
              </w:rPr>
              <w:t xml:space="preserve">Bērniem tiek vadītas izglītojošas robotikas nodarbības un sporta aktivitātes </w:t>
            </w:r>
            <w:r w:rsidRPr="00F104EF" w:rsidR="00000000">
              <w:rPr>
                <w:sz w:val="24"/>
                <w:lang w:val="lv-LV"/>
              </w:rPr>
              <w:t>Beach</w:t>
            </w:r>
            <w:r w:rsidRPr="00F104EF" w:rsidR="00000000">
              <w:rPr>
                <w:sz w:val="24"/>
                <w:lang w:val="lv-LV"/>
              </w:rPr>
              <w:t xml:space="preserve"> </w:t>
            </w:r>
            <w:r w:rsidRPr="00F104EF" w:rsidR="00000000">
              <w:rPr>
                <w:sz w:val="24"/>
                <w:lang w:val="lv-LV"/>
              </w:rPr>
              <w:t>box</w:t>
            </w:r>
            <w:r w:rsidRPr="00F104EF" w:rsidR="00000000">
              <w:rPr>
                <w:sz w:val="24"/>
                <w:lang w:val="lv-LV"/>
              </w:rPr>
              <w:t xml:space="preserve"> laukumos pie </w:t>
            </w:r>
            <w:r w:rsidRPr="00F104EF" w:rsidR="00000000">
              <w:rPr>
                <w:sz w:val="24"/>
                <w:lang w:val="lv-LV"/>
              </w:rPr>
              <w:t>Elkor</w:t>
            </w:r>
            <w:r w:rsidRPr="00F104EF" w:rsidR="00000000">
              <w:rPr>
                <w:sz w:val="24"/>
                <w:lang w:val="lv-LV"/>
              </w:rPr>
              <w:t xml:space="preserve"> </w:t>
            </w:r>
            <w:r w:rsidRPr="00F104EF" w:rsidR="00000000">
              <w:rPr>
                <w:sz w:val="24"/>
                <w:lang w:val="lv-LV"/>
              </w:rPr>
              <w:t>Plaza</w:t>
            </w:r>
            <w:r w:rsidRPr="00F104EF" w:rsidR="00000000">
              <w:rPr>
                <w:sz w:val="24"/>
                <w:lang w:val="lv-LV"/>
              </w:rPr>
              <w:t xml:space="preserve"> svaigā gaisā.</w:t>
            </w:r>
            <w:r w:rsidR="00000000">
              <w:rPr>
                <w:sz w:val="24"/>
                <w:lang w:val="lv-LV"/>
              </w:rPr>
              <w:t xml:space="preserve"> Dalībnieku ē</w:t>
            </w:r>
            <w:r w:rsidRPr="00F104EF" w:rsidR="00000000">
              <w:rPr>
                <w:sz w:val="24"/>
                <w:lang w:val="lv-LV"/>
              </w:rPr>
              <w:t xml:space="preserve">dināšana </w:t>
            </w:r>
            <w:r w:rsidR="00000000">
              <w:rPr>
                <w:sz w:val="24"/>
                <w:lang w:val="lv-LV"/>
              </w:rPr>
              <w:t xml:space="preserve">ir paredzēta divas </w:t>
            </w:r>
            <w:r w:rsidRPr="00F104EF" w:rsidR="00000000">
              <w:rPr>
                <w:sz w:val="24"/>
                <w:lang w:val="lv-LV"/>
              </w:rPr>
              <w:t>reizes dienā</w:t>
            </w:r>
            <w:r w:rsidR="00000000">
              <w:rPr>
                <w:sz w:val="24"/>
                <w:lang w:val="lv-LV"/>
              </w:rPr>
              <w:t xml:space="preserve"> kafejnīcā “CEPA” Brīvības gatvē</w:t>
            </w:r>
            <w:r w:rsidRPr="00F104EF" w:rsidR="00000000">
              <w:rPr>
                <w:sz w:val="24"/>
                <w:lang w:val="lv-LV"/>
              </w:rPr>
              <w:t xml:space="preserve"> 214</w:t>
            </w:r>
            <w:r w:rsidR="002B7C43">
              <w:rPr>
                <w:sz w:val="24"/>
                <w:lang w:val="lv-LV"/>
              </w:rPr>
              <w:t xml:space="preserve">, Rīgā. </w:t>
            </w:r>
            <w:r w:rsidR="00000000">
              <w:rPr>
                <w:sz w:val="24"/>
                <w:lang w:val="lv-LV"/>
              </w:rPr>
              <w:t xml:space="preserve">Nometnes vadītāja </w:t>
            </w:r>
            <w:r w:rsidR="00EF6129">
              <w:rPr>
                <w:sz w:val="24"/>
                <w:lang w:val="lv-LV"/>
              </w:rPr>
              <w:t>–</w:t>
            </w:r>
            <w:r w:rsidR="00000000">
              <w:rPr>
                <w:sz w:val="24"/>
                <w:lang w:val="lv-LV"/>
              </w:rPr>
              <w:t xml:space="preserve"> </w:t>
            </w:r>
            <w:r w:rsidRPr="0070110A" w:rsidR="0070110A">
              <w:rPr>
                <w:sz w:val="24"/>
                <w:lang w:val="lv-LV"/>
              </w:rPr>
              <w:t>Felicita Zatlere-Kotāne</w:t>
            </w:r>
            <w:r w:rsidRPr="00740A13" w:rsidR="00000000">
              <w:rPr>
                <w:sz w:val="24"/>
                <w:lang w:val="lv-LV"/>
              </w:rPr>
              <w:t>, bērnu nomet</w:t>
            </w:r>
            <w:r w:rsidR="00000000">
              <w:rPr>
                <w:sz w:val="24"/>
                <w:lang w:val="lv-LV"/>
              </w:rPr>
              <w:t>ņu vadītāja</w:t>
            </w:r>
            <w:r w:rsidR="004C2645">
              <w:rPr>
                <w:sz w:val="24"/>
                <w:lang w:val="lv-LV"/>
              </w:rPr>
              <w:t>s</w:t>
            </w:r>
            <w:r w:rsidR="00000000">
              <w:rPr>
                <w:sz w:val="24"/>
                <w:lang w:val="lv-LV"/>
              </w:rPr>
              <w:t xml:space="preserve"> apliecības Nr. </w:t>
            </w:r>
            <w:r w:rsidRPr="0070110A" w:rsidR="0070110A">
              <w:rPr>
                <w:sz w:val="24"/>
                <w:lang w:val="lv-LV"/>
              </w:rPr>
              <w:t>116-00689</w:t>
            </w:r>
            <w:r w:rsidR="00000000">
              <w:rPr>
                <w:sz w:val="24"/>
                <w:lang w:val="lv-LV"/>
              </w:rPr>
              <w:t xml:space="preserve">, tālrunis </w:t>
            </w:r>
            <w:r w:rsidRPr="0070110A" w:rsidR="0070110A">
              <w:rPr>
                <w:sz w:val="24"/>
                <w:lang w:val="lv-LV"/>
              </w:rPr>
              <w:t>29198811</w:t>
            </w:r>
            <w:r w:rsidR="0070110A">
              <w:rPr>
                <w:sz w:val="24"/>
                <w:lang w:val="lv-LV"/>
              </w:rPr>
              <w:t xml:space="preserve">. </w:t>
            </w:r>
          </w:p>
          <w:p w:rsidR="00246554" w:rsidRPr="00246554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5D576A" w:rsidRPr="005D576A" w:rsidP="005D576A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>Telpu apdarei izmantotie materiāli ir cilvēku veselībai nekaitīgi un atbilst telpu izmantošanas</w:t>
            </w:r>
          </w:p>
          <w:p w:rsidR="005D576A" w:rsidP="00980B4B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</w:t>
            </w:r>
            <w:r w:rsidR="00C93598">
              <w:rPr>
                <w:sz w:val="24"/>
                <w:lang w:val="lv-LV"/>
              </w:rPr>
              <w:t>pecifikai.</w:t>
            </w:r>
          </w:p>
          <w:p w:rsidR="00246554" w:rsidP="005D576A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E43F4A" w:rsidP="00C66B8A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Telpu apgaismojums – dabiskais un mākslīgais. Iekštelpu apgaismojuma līmenis vizuāli novērtēts kā pietiekošs. Uzradīti </w:t>
            </w:r>
            <w:r w:rsidRPr="008A770A">
              <w:rPr>
                <w:bCs/>
                <w:sz w:val="24"/>
                <w:szCs w:val="20"/>
                <w:lang w:val="lv-LV"/>
              </w:rPr>
              <w:t xml:space="preserve"> </w:t>
            </w:r>
            <w:r w:rsidRPr="008A770A">
              <w:rPr>
                <w:sz w:val="24"/>
                <w:lang w:val="lv-LV"/>
              </w:rPr>
              <w:t xml:space="preserve">Sabiedrības ar ierobežotu atbildību “D Drošība” </w:t>
            </w:r>
            <w:r>
              <w:rPr>
                <w:sz w:val="24"/>
                <w:lang w:val="lv-LV"/>
              </w:rPr>
              <w:t>2</w:t>
            </w:r>
            <w:r w:rsidRPr="008A770A">
              <w:rPr>
                <w:sz w:val="24"/>
                <w:lang w:val="lv-LV"/>
              </w:rPr>
              <w:t>9.09.2022. mikroklimata indikatīvie mērījumi (iekštelpu apgaismojuma mērījumu protokols</w:t>
            </w:r>
            <w:r>
              <w:rPr>
                <w:sz w:val="24"/>
                <w:lang w:val="lv-LV"/>
              </w:rPr>
              <w:t>”:</w:t>
            </w:r>
            <w:r w:rsidRPr="008A770A">
              <w:rPr>
                <w:bCs/>
                <w:sz w:val="24"/>
                <w:szCs w:val="20"/>
                <w:lang w:val="lv-LV"/>
              </w:rPr>
              <w:t xml:space="preserve"> </w:t>
            </w:r>
            <w:r>
              <w:rPr>
                <w:bCs/>
                <w:sz w:val="24"/>
                <w:szCs w:val="20"/>
                <w:lang w:val="lv-LV"/>
              </w:rPr>
              <w:t>i</w:t>
            </w:r>
            <w:r w:rsidRPr="008A770A">
              <w:rPr>
                <w:bCs/>
                <w:sz w:val="24"/>
                <w:szCs w:val="20"/>
                <w:lang w:val="lv-LV"/>
              </w:rPr>
              <w:t xml:space="preserve">ekštelpu </w:t>
            </w:r>
            <w:r w:rsidRPr="008A770A">
              <w:rPr>
                <w:bCs/>
                <w:sz w:val="24"/>
                <w:szCs w:val="20"/>
                <w:lang w:val="lv-LV"/>
              </w:rPr>
              <w:t>apgaismojuma līmenis atbilst Ministru kabineta 28.04.2009. noteikumu Nr. 359 “Darba aizsardzības prasības darba vietās” 2. pielikuma prasībām.</w:t>
            </w:r>
          </w:p>
          <w:p w:rsidR="00CF27A6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E43F4A" w:rsidP="00132BE7">
            <w:pPr>
              <w:overflowPunct/>
              <w:autoSpaceDE/>
              <w:adjustRightInd/>
              <w:ind w:right="6" w:firstLine="17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Centralizētā siltumapgādes sistēma. </w:t>
            </w:r>
          </w:p>
          <w:p w:rsidR="00CF27A6" w:rsidP="00A7576E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70110A" w:rsidP="0070110A">
            <w:pPr>
              <w:overflowPunct/>
              <w:autoSpaceDE/>
              <w:adjustRightInd/>
              <w:ind w:right="6" w:firstLine="176"/>
              <w:jc w:val="both"/>
              <w:rPr>
                <w:b/>
                <w:sz w:val="24"/>
                <w:lang w:val="lv-LV"/>
              </w:rPr>
            </w:pPr>
            <w:r w:rsidRPr="0070110A">
              <w:rPr>
                <w:sz w:val="24"/>
                <w:lang w:val="lv-LV"/>
              </w:rPr>
              <w:t>Vedināšanas- dabiskā cau</w:t>
            </w:r>
            <w:r w:rsidR="002B01BE">
              <w:rPr>
                <w:sz w:val="24"/>
                <w:lang w:val="lv-LV"/>
              </w:rPr>
              <w:t>r logiem, durvīm un ventilācijas kanāliem</w:t>
            </w:r>
            <w:r w:rsidRPr="0070110A">
              <w:rPr>
                <w:sz w:val="24"/>
                <w:lang w:val="lv-LV"/>
              </w:rPr>
              <w:t xml:space="preserve">, mehāniskās </w:t>
            </w:r>
            <w:r w:rsidRPr="0070110A">
              <w:rPr>
                <w:sz w:val="24"/>
                <w:lang w:val="lv-LV"/>
              </w:rPr>
              <w:t>nosūces</w:t>
            </w:r>
            <w:r>
              <w:rPr>
                <w:lang w:val="lv-LV"/>
              </w:rPr>
              <w:t xml:space="preserve"> </w:t>
            </w:r>
            <w:r w:rsidRPr="0070110A">
              <w:rPr>
                <w:sz w:val="24"/>
                <w:lang w:val="lv-LV"/>
              </w:rPr>
              <w:t>ventilācijas sistēma tualetes telpās</w:t>
            </w:r>
            <w:r>
              <w:rPr>
                <w:sz w:val="24"/>
                <w:lang w:val="lv-LV"/>
              </w:rPr>
              <w:t>.</w:t>
            </w:r>
            <w:r w:rsidRPr="00246554">
              <w:rPr>
                <w:b/>
                <w:sz w:val="24"/>
                <w:lang w:val="lv-LV"/>
              </w:rPr>
              <w:t xml:space="preserve"> </w:t>
            </w:r>
          </w:p>
          <w:p w:rsidR="00EB5912" w:rsidRPr="00EB5912" w:rsidP="00EB5912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551E39" w:rsidP="00551E39">
            <w:pPr>
              <w:overflowPunct/>
              <w:ind w:firstLine="176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Pieslēgums</w:t>
            </w:r>
            <w:r>
              <w:rPr>
                <w:sz w:val="24"/>
                <w:lang w:val="lv-LV"/>
              </w:rPr>
              <w:t xml:space="preserve"> pilsētas centralizētajiem </w:t>
            </w:r>
            <w:r w:rsidR="00524E58">
              <w:rPr>
                <w:sz w:val="24"/>
                <w:lang w:val="lv-LV"/>
              </w:rPr>
              <w:t xml:space="preserve">ūdensapgādes </w:t>
            </w:r>
            <w:r>
              <w:rPr>
                <w:sz w:val="24"/>
                <w:lang w:val="lv-LV"/>
              </w:rPr>
              <w:t>tīkliem</w:t>
            </w:r>
            <w:r w:rsidR="00524E58">
              <w:rPr>
                <w:sz w:val="24"/>
                <w:lang w:val="lv-LV"/>
              </w:rPr>
              <w:t>.</w:t>
            </w:r>
          </w:p>
          <w:p w:rsidR="002213CB" w:rsidP="00A7576E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5D576A" w:rsidRPr="005D576A" w:rsidP="005D576A">
            <w:pPr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Pieslēgums</w:t>
            </w:r>
            <w:r>
              <w:rPr>
                <w:sz w:val="24"/>
                <w:lang w:val="lv-LV"/>
              </w:rPr>
              <w:t xml:space="preserve"> pilsētas centralizētajiem </w:t>
            </w:r>
            <w:r w:rsidR="00524E58">
              <w:rPr>
                <w:sz w:val="24"/>
                <w:lang w:val="lv-LV"/>
              </w:rPr>
              <w:t xml:space="preserve">kanalizācijas </w:t>
            </w:r>
            <w:r>
              <w:rPr>
                <w:sz w:val="24"/>
                <w:lang w:val="lv-LV"/>
              </w:rPr>
              <w:t xml:space="preserve">tīkliem. </w:t>
            </w:r>
          </w:p>
          <w:p w:rsidR="002213CB" w:rsidRPr="000964F0" w:rsidP="008179CE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70110A" w:rsidP="00980B4B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70110A">
              <w:rPr>
                <w:sz w:val="24"/>
                <w:lang w:val="lv-LV"/>
              </w:rPr>
              <w:t xml:space="preserve">Teritorija ir labiekārtota. </w:t>
            </w:r>
          </w:p>
          <w:p w:rsidR="002E3FF9" w:rsidRPr="000964F0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70110A" w:rsidRPr="0070110A" w:rsidP="0070110A">
            <w:pPr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70110A">
              <w:rPr>
                <w:sz w:val="24"/>
                <w:lang w:val="lv-LV"/>
              </w:rPr>
              <w:t xml:space="preserve">Nav paredzēta. </w:t>
            </w:r>
          </w:p>
          <w:p w:rsidR="00A7176E" w:rsidRPr="000964F0" w:rsidP="0055580F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524E58">
            <w:pPr>
              <w:tabs>
                <w:tab w:val="left" w:pos="993"/>
              </w:tabs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</w:t>
            </w:r>
            <w:r w:rsidR="00000000">
              <w:rPr>
                <w:sz w:val="24"/>
                <w:lang w:val="lv-LV"/>
              </w:rPr>
              <w:t>.</w:t>
            </w:r>
          </w:p>
        </w:tc>
      </w:tr>
      <w:tr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AB4D7B" w:rsidP="00BF13AA">
            <w:pPr>
              <w:ind w:firstLine="176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C4C8F">
              <w:rPr>
                <w:sz w:val="24"/>
                <w:lang w:val="lv-LV"/>
              </w:rPr>
              <w:t>bjekts “</w:t>
            </w:r>
            <w:r w:rsidRPr="00DC4C8F" w:rsidR="00C66B8A">
              <w:rPr>
                <w:sz w:val="24"/>
                <w:lang w:val="lv-LV"/>
              </w:rPr>
              <w:t>Bērnu dienas</w:t>
            </w:r>
            <w:r w:rsidR="00C66B8A">
              <w:rPr>
                <w:b/>
                <w:sz w:val="24"/>
                <w:lang w:val="lv-LV"/>
              </w:rPr>
              <w:t xml:space="preserve"> </w:t>
            </w:r>
            <w:r w:rsidRPr="00C66B8A" w:rsidR="00C66B8A">
              <w:rPr>
                <w:bCs/>
                <w:sz w:val="24"/>
                <w:lang w:val="lv-LV"/>
              </w:rPr>
              <w:t>nometne</w:t>
            </w:r>
            <w:r w:rsidR="00C66B8A">
              <w:rPr>
                <w:b/>
                <w:sz w:val="24"/>
                <w:lang w:val="lv-LV"/>
              </w:rPr>
              <w:t xml:space="preserve"> </w:t>
            </w:r>
            <w:r w:rsidRPr="004A4443" w:rsidR="00C66B8A">
              <w:rPr>
                <w:sz w:val="24"/>
                <w:lang w:val="lv-LV"/>
              </w:rPr>
              <w:t>„</w:t>
            </w:r>
            <w:r w:rsidRPr="00DC4C8F" w:rsidR="00C66B8A">
              <w:rPr>
                <w:sz w:val="24"/>
                <w:lang w:val="lv-LV"/>
              </w:rPr>
              <w:t>ROBO HUB izgl</w:t>
            </w:r>
            <w:r w:rsidR="00C66B8A">
              <w:rPr>
                <w:sz w:val="24"/>
                <w:lang w:val="lv-LV"/>
              </w:rPr>
              <w:t xml:space="preserve">ītojošās robotikas VASARAS`23 dienas </w:t>
            </w:r>
            <w:r w:rsidRPr="00DC4C8F" w:rsidR="00C66B8A">
              <w:rPr>
                <w:sz w:val="24"/>
                <w:lang w:val="lv-LV"/>
              </w:rPr>
              <w:t>nometne</w:t>
            </w:r>
            <w:r w:rsidR="00C66B8A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Pr="00DC4C8F">
              <w:rPr>
                <w:sz w:val="24"/>
                <w:lang w:val="lv-LV"/>
              </w:rPr>
              <w:t xml:space="preserve">Brīvības gatvē </w:t>
            </w:r>
            <w:r>
              <w:rPr>
                <w:sz w:val="24"/>
                <w:lang w:val="lv-LV"/>
              </w:rPr>
              <w:t xml:space="preserve">224, </w:t>
            </w:r>
            <w:r w:rsidRPr="00DC4C8F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 xml:space="preserve"> korpuss (2.stāvs), Rīgā </w:t>
            </w:r>
            <w:r w:rsidRPr="00DC4C8F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C66B8A" w:rsidRPr="000B1CA1" w:rsidP="00C66B8A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0B1CA1">
              <w:rPr>
                <w:sz w:val="24"/>
                <w:lang w:val="lv-LV"/>
              </w:rPr>
              <w:t>Objekta darbības laikā ievērot 28.09.2021. Ministru kabineta noteikumu Nr. 662 “Epidemioloģiskās drošības pasākumi Covid-19 infekcijas izplatības ierobežošanai” prasības;</w:t>
            </w:r>
          </w:p>
          <w:p w:rsidR="00C66B8A" w:rsidRPr="000B1CA1" w:rsidP="00C66B8A">
            <w:pPr>
              <w:tabs>
                <w:tab w:val="left" w:pos="201"/>
                <w:tab w:val="left" w:pos="342"/>
                <w:tab w:val="left" w:pos="993"/>
              </w:tabs>
              <w:spacing w:before="60" w:after="60"/>
              <w:ind w:left="59" w:hanging="59"/>
              <w:jc w:val="both"/>
              <w:textAlignment w:val="auto"/>
              <w:rPr>
                <w:sz w:val="24"/>
                <w:lang w:val="lv-LV"/>
              </w:rPr>
            </w:pPr>
            <w:r w:rsidRPr="000B1CA1">
              <w:rPr>
                <w:sz w:val="24"/>
                <w:lang w:val="lv-LV"/>
              </w:rPr>
              <w:t xml:space="preserve">- Objekta darbības laikā ievērot ar Veselības ministriju 15.06.2022. saskaņotās „Vadlīnijas piesardzības pasākumiem bērnu nometņu organizētājiem” un regulāri sekot līdzi vadlīniju papildinājumiem un/vai atjauninājumiem. </w:t>
            </w:r>
          </w:p>
          <w:p w:rsidR="00C66B8A" w:rsidRPr="0001514D" w:rsidP="00C66B8A">
            <w:pPr>
              <w:tabs>
                <w:tab w:val="left" w:pos="342"/>
                <w:tab w:val="left" w:pos="993"/>
              </w:tabs>
              <w:ind w:left="72" w:hanging="72"/>
              <w:jc w:val="both"/>
              <w:rPr>
                <w:b/>
                <w:sz w:val="24"/>
                <w:lang w:val="lv-LV"/>
              </w:rPr>
            </w:pPr>
            <w:r w:rsidRPr="000B1CA1">
              <w:rPr>
                <w:sz w:val="24"/>
                <w:lang w:val="lv-LV"/>
              </w:rPr>
              <w:t xml:space="preserve">- Ievērot Ministru kabineta 01.09.2009. noteikumus Nr. 981 „Bērnu nometņu organizēšanas un darbības kārtība”, kā arī nodrošināt </w:t>
            </w:r>
            <w:r w:rsidRPr="000B1CA1">
              <w:rPr>
                <w:sz w:val="24"/>
                <w:lang w:val="lv-LV"/>
              </w:rPr>
              <w:t>pretepidēmiskā</w:t>
            </w:r>
            <w:r w:rsidRPr="000B1CA1">
              <w:rPr>
                <w:sz w:val="24"/>
                <w:lang w:val="lv-LV"/>
              </w:rPr>
              <w:t xml:space="preserve"> režīma ievērošanu un bērnu veselībai drošu vidi.</w:t>
            </w:r>
          </w:p>
          <w:p w:rsidR="002F4108" w:rsidRPr="00402D47" w:rsidP="0055580F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</w:p>
        </w:tc>
      </w:tr>
    </w:tbl>
    <w:p w:rsidR="002A39F3" w:rsidP="002A39F3">
      <w:pPr>
        <w:jc w:val="both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6237"/>
        <w:gridCol w:w="3120"/>
      </w:tblGrid>
      <w:tr w:rsidTr="00B54023">
        <w:tblPrEx>
          <w:tblW w:w="9357" w:type="dxa"/>
          <w:tblInd w:w="108" w:type="dxa"/>
          <w:tblLayout w:type="fixed"/>
          <w:tblLook w:val="04A0"/>
        </w:tblPrEx>
        <w:tc>
          <w:tcPr>
            <w:tcW w:w="6237" w:type="dxa"/>
            <w:hideMark/>
          </w:tcPr>
          <w:p w:rsidR="00C66B8A" w:rsidRPr="00C66B8A" w:rsidP="00C66B8A">
            <w:pPr>
              <w:rPr>
                <w:sz w:val="24"/>
                <w:lang w:val="lv-LV"/>
              </w:rPr>
            </w:pPr>
          </w:p>
          <w:p w:rsidR="00C66B8A" w:rsidRPr="00C66B8A" w:rsidP="00C66B8A">
            <w:pPr>
              <w:rPr>
                <w:sz w:val="24"/>
                <w:lang w:val="lv-LV"/>
              </w:rPr>
            </w:pPr>
          </w:p>
          <w:p w:rsidR="00C66B8A" w:rsidRPr="00C66B8A" w:rsidP="00C66B8A">
            <w:pPr>
              <w:rPr>
                <w:sz w:val="24"/>
                <w:lang w:val="lv-LV"/>
              </w:rPr>
            </w:pPr>
            <w:r w:rsidRPr="00C66B8A">
              <w:rPr>
                <w:sz w:val="24"/>
                <w:lang w:val="lv-LV"/>
              </w:rPr>
              <w:t xml:space="preserve">Sabiedrības veselības departamenta </w:t>
            </w:r>
          </w:p>
          <w:p w:rsidR="00C66B8A" w:rsidRPr="00C66B8A" w:rsidP="00C66B8A">
            <w:pPr>
              <w:rPr>
                <w:sz w:val="24"/>
                <w:lang w:val="lv-LV"/>
              </w:rPr>
            </w:pPr>
            <w:r w:rsidRPr="00C66B8A">
              <w:rPr>
                <w:sz w:val="24"/>
                <w:lang w:val="lv-LV"/>
              </w:rPr>
              <w:t>Higiēnas novērtēšanas nodaļas higiēnas ārste</w:t>
            </w:r>
          </w:p>
        </w:tc>
        <w:tc>
          <w:tcPr>
            <w:tcW w:w="3120" w:type="dxa"/>
            <w:hideMark/>
          </w:tcPr>
          <w:p w:rsidR="00C66B8A" w:rsidRPr="00C66B8A" w:rsidP="00C66B8A">
            <w:pPr>
              <w:rPr>
                <w:sz w:val="24"/>
                <w:lang w:val="lv-LV"/>
              </w:rPr>
            </w:pPr>
          </w:p>
          <w:p w:rsidR="00C66B8A" w:rsidRPr="00C66B8A" w:rsidP="00C66B8A">
            <w:pPr>
              <w:rPr>
                <w:sz w:val="24"/>
                <w:lang w:val="lv-LV"/>
              </w:rPr>
            </w:pPr>
          </w:p>
          <w:p w:rsidR="00C66B8A" w:rsidRPr="00C66B8A" w:rsidP="00C66B8A">
            <w:pPr>
              <w:jc w:val="right"/>
              <w:rPr>
                <w:sz w:val="24"/>
                <w:lang w:val="lv-LV"/>
              </w:rPr>
            </w:pPr>
          </w:p>
          <w:p w:rsidR="00C66B8A" w:rsidRPr="00C66B8A" w:rsidP="00C66B8A">
            <w:pPr>
              <w:jc w:val="right"/>
              <w:rPr>
                <w:sz w:val="24"/>
                <w:lang w:val="lv-LV"/>
              </w:rPr>
            </w:pPr>
          </w:p>
          <w:p w:rsidR="00C66B8A" w:rsidRPr="00C66B8A" w:rsidP="00C66B8A">
            <w:pPr>
              <w:jc w:val="right"/>
              <w:rPr>
                <w:sz w:val="24"/>
                <w:lang w:val="lv-LV"/>
              </w:rPr>
            </w:pPr>
            <w:r w:rsidRPr="00C66B8A">
              <w:rPr>
                <w:sz w:val="24"/>
                <w:lang w:val="lv-LV"/>
              </w:rPr>
              <w:t>Nataļja Vorobjova</w:t>
            </w:r>
          </w:p>
        </w:tc>
      </w:tr>
      <w:tr w:rsidTr="00B540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gridSpan w:val="2"/>
            <w:hideMark/>
          </w:tcPr>
          <w:p w:rsidR="00C66B8A" w:rsidRPr="00C66B8A" w:rsidP="00C66B8A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C66B8A" w:rsidRPr="00C66B8A" w:rsidP="00C66B8A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C66B8A" w:rsidRPr="00C66B8A" w:rsidP="00C66B8A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C66B8A" w:rsidRPr="00C66B8A" w:rsidP="00C66B8A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C66B8A" w:rsidRPr="00C66B8A" w:rsidP="00C66B8A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</w:p>
          <w:p w:rsidR="00C66B8A" w:rsidRPr="00C66B8A" w:rsidP="00C66B8A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r w:rsidRPr="00C66B8A">
              <w:rPr>
                <w:sz w:val="24"/>
                <w:lang w:val="lv-LV" w:eastAsia="zh-CN"/>
              </w:rPr>
              <w:t>Nataļja Vorobjova, 67081640</w:t>
            </w:r>
          </w:p>
        </w:tc>
      </w:tr>
      <w:tr w:rsidTr="00B54023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gridSpan w:val="2"/>
            <w:hideMark/>
          </w:tcPr>
          <w:p w:rsidR="00C66B8A" w:rsidRPr="00C66B8A" w:rsidP="00C66B8A">
            <w:pPr>
              <w:overflowPunct/>
              <w:autoSpaceDE/>
              <w:autoSpaceDN/>
              <w:adjustRightInd/>
              <w:textAlignment w:val="auto"/>
              <w:rPr>
                <w:sz w:val="24"/>
                <w:lang w:val="lv-LV" w:eastAsia="zh-CN"/>
              </w:rPr>
            </w:pPr>
            <w:r w:rsidRPr="00C66B8A">
              <w:rPr>
                <w:sz w:val="24"/>
                <w:lang w:val="lv-LV" w:eastAsia="zh-CN"/>
              </w:rPr>
              <w:t>natalja.vorobjova</w:t>
            </w:r>
            <w:r w:rsidRPr="00C66B8A">
              <w:rPr>
                <w:sz w:val="24"/>
                <w:lang w:val="lv-LV" w:eastAsia="zh-CN"/>
              </w:rPr>
              <w:t xml:space="preserve"> @vi.gov.lv</w:t>
            </w:r>
          </w:p>
        </w:tc>
      </w:tr>
    </w:tbl>
    <w:p w:rsidR="00C66B8A" w:rsidRPr="00C66B8A" w:rsidP="00C66B8A">
      <w:pPr>
        <w:overflowPunct/>
        <w:autoSpaceDE/>
        <w:autoSpaceDN/>
        <w:adjustRightInd/>
        <w:textAlignment w:val="auto"/>
        <w:rPr>
          <w:sz w:val="24"/>
          <w:lang w:val="lv-LV" w:eastAsia="zh-CN"/>
        </w:rPr>
      </w:pPr>
    </w:p>
    <w:p w:rsidR="002A39F3" w:rsidP="002A39F3">
      <w:pPr>
        <w:jc w:val="both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>
    <w:pPr>
      <w:pStyle w:val="Footer"/>
      <w:rPr>
        <w:sz w:val="20"/>
        <w:lang w:val="lv-LV"/>
      </w:rPr>
    </w:pPr>
  </w:p>
  <w:p w:rsidR="002E3FF9" w:rsidRPr="00E53C2B" w:rsidP="00E53C2B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>
    <w:pPr>
      <w:pStyle w:val="Footer"/>
      <w:rPr>
        <w:sz w:val="20"/>
        <w:lang w:val="lv-LV"/>
      </w:rPr>
    </w:pPr>
  </w:p>
  <w:p w:rsidR="002E3FF9" w:rsidRPr="00022614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F46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FF465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FF4658"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:rsidTr="00B54023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C66B8A" w:rsidRPr="00C66B8A" w:rsidP="00C66B8A">
          <w:pPr>
            <w:keepNext/>
            <w:jc w:val="center"/>
            <w:outlineLvl w:val="1"/>
            <w:rPr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C66B8A" w:rsidRPr="00C66B8A" w:rsidP="00C66B8A">
          <w:pPr>
            <w:keepNext/>
            <w:outlineLvl w:val="1"/>
            <w:rPr>
              <w:bCs/>
              <w:sz w:val="24"/>
              <w:lang w:val="lv-LV"/>
            </w:rPr>
          </w:pPr>
          <w:r w:rsidRPr="00C66B8A">
            <w:rPr>
              <w:bCs/>
              <w:sz w:val="24"/>
              <w:lang w:val="lv-LV"/>
            </w:rPr>
            <w:t>Pielikums</w:t>
          </w:r>
        </w:p>
        <w:p w:rsidR="00C66B8A" w:rsidRPr="00C66B8A" w:rsidP="00C66B8A">
          <w:pPr>
            <w:ind w:left="-222" w:firstLine="222"/>
            <w:rPr>
              <w:sz w:val="24"/>
              <w:lang w:val="lv-LV"/>
            </w:rPr>
          </w:pPr>
          <w:r w:rsidRPr="00C66B8A">
            <w:rPr>
              <w:sz w:val="24"/>
              <w:lang w:val="lv-LV"/>
            </w:rPr>
            <w:t>Veselības inspekcijas</w:t>
          </w:r>
        </w:p>
        <w:p w:rsidR="00C66B8A" w:rsidRPr="00C66B8A" w:rsidP="00C66B8A">
          <w:pPr>
            <w:rPr>
              <w:sz w:val="24"/>
              <w:u w:val="single"/>
              <w:lang w:val="lv-LV"/>
            </w:rPr>
          </w:pPr>
          <w:r w:rsidRPr="00C66B8A">
            <w:rPr>
              <w:bCs/>
              <w:noProof/>
              <w:sz w:val="22"/>
              <w:szCs w:val="22"/>
              <w:u w:val="single"/>
              <w:lang w:val="lv-LV"/>
            </w:rPr>
            <w:t>12.05.2023</w:t>
          </w:r>
        </w:p>
        <w:p w:rsidR="00C66B8A" w:rsidRPr="00C66B8A" w:rsidP="00C66B8A">
          <w:pPr>
            <w:rPr>
              <w:sz w:val="24"/>
              <w:lang w:val="lv-LV"/>
            </w:rPr>
          </w:pPr>
          <w:r w:rsidRPr="00C66B8A">
            <w:rPr>
              <w:sz w:val="24"/>
              <w:lang w:val="lv-LV"/>
            </w:rPr>
            <w:t>atzinumam</w:t>
          </w:r>
        </w:p>
        <w:p w:rsidR="00C66B8A" w:rsidRPr="00C66B8A" w:rsidP="00C66B8A">
          <w:pPr>
            <w:rPr>
              <w:sz w:val="24"/>
              <w:lang w:val="lv-LV"/>
            </w:rPr>
          </w:pPr>
          <w:r w:rsidRPr="00C66B8A">
            <w:rPr>
              <w:sz w:val="24"/>
              <w:lang w:val="lv-LV"/>
            </w:rPr>
            <w:t>Nr</w:t>
          </w:r>
          <w:r w:rsidRPr="00C66B8A">
            <w:rPr>
              <w:sz w:val="22"/>
              <w:szCs w:val="22"/>
              <w:u w:val="single"/>
              <w:lang w:val="lv-LV"/>
            </w:rPr>
            <w:t>.</w:t>
          </w:r>
          <w:r w:rsidRPr="00C66B8A">
            <w:rPr>
              <w:bCs/>
              <w:noProof/>
              <w:sz w:val="22"/>
              <w:szCs w:val="22"/>
              <w:u w:val="single"/>
              <w:lang w:val="lv-LV"/>
            </w:rPr>
            <w:t>2.4.5.-8/216</w:t>
          </w:r>
        </w:p>
      </w:tc>
    </w:tr>
  </w:tbl>
  <w:p w:rsidR="00C66B8A" w:rsidRPr="00C66B8A" w:rsidP="00C66B8A">
    <w:pPr>
      <w:tabs>
        <w:tab w:val="center" w:pos="4153"/>
        <w:tab w:val="right" w:pos="8306"/>
      </w:tabs>
      <w:jc w:val="center"/>
      <w:rPr>
        <w:sz w:val="20"/>
      </w:rPr>
    </w:pPr>
    <w:r w:rsidRPr="00C66B8A"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66B8A" w:rsidRPr="00C66B8A" w:rsidP="00C66B8A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C66B8A"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66B8A" w:rsidRPr="00C66B8A" w:rsidP="00C66B8A">
    <w:pPr>
      <w:jc w:val="center"/>
      <w:rPr>
        <w:sz w:val="20"/>
        <w:szCs w:val="20"/>
        <w:lang w:val="lv-LV"/>
      </w:rPr>
    </w:pPr>
    <w:r w:rsidRPr="00C66B8A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C66B8A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C66B8A">
      <w:rPr>
        <w:sz w:val="20"/>
        <w:szCs w:val="20"/>
        <w:lang w:val="lv-LV"/>
      </w:rPr>
      <w:t xml:space="preserve">, </w:t>
    </w:r>
    <w:hyperlink r:id="rId3" w:history="1">
      <w:r w:rsidRPr="00C66B8A">
        <w:rPr>
          <w:color w:val="0000FF"/>
          <w:sz w:val="20"/>
          <w:szCs w:val="20"/>
          <w:u w:val="single"/>
        </w:rPr>
        <w:t>www.vi.gov.lv</w:t>
      </w:r>
    </w:hyperlink>
  </w:p>
  <w:p w:rsidR="002E3FF9" w:rsidRPr="00633DAF" w:rsidP="00633DAF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067148215">
    <w:abstractNumId w:val="5"/>
  </w:num>
  <w:num w:numId="2" w16cid:durableId="2140419090">
    <w:abstractNumId w:val="1"/>
  </w:num>
  <w:num w:numId="3" w16cid:durableId="726953960">
    <w:abstractNumId w:val="0"/>
  </w:num>
  <w:num w:numId="4" w16cid:durableId="764959213">
    <w:abstractNumId w:val="3"/>
  </w:num>
  <w:num w:numId="5" w16cid:durableId="1685400523">
    <w:abstractNumId w:val="9"/>
  </w:num>
  <w:num w:numId="6" w16cid:durableId="772673029">
    <w:abstractNumId w:val="10"/>
  </w:num>
  <w:num w:numId="7" w16cid:durableId="488717864">
    <w:abstractNumId w:val="7"/>
  </w:num>
  <w:num w:numId="8" w16cid:durableId="1459763689">
    <w:abstractNumId w:val="2"/>
  </w:num>
  <w:num w:numId="9" w16cid:durableId="1126892725">
    <w:abstractNumId w:val="6"/>
  </w:num>
  <w:num w:numId="10" w16cid:durableId="9677062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51555382">
    <w:abstractNumId w:val="12"/>
  </w:num>
  <w:num w:numId="12" w16cid:durableId="13241625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02073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50588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1514D"/>
    <w:rsid w:val="00022614"/>
    <w:rsid w:val="00035D24"/>
    <w:rsid w:val="00042421"/>
    <w:rsid w:val="0004365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B1CA1"/>
    <w:rsid w:val="000B7FC1"/>
    <w:rsid w:val="000C05D2"/>
    <w:rsid w:val="000D509E"/>
    <w:rsid w:val="00104812"/>
    <w:rsid w:val="00106D19"/>
    <w:rsid w:val="00114A2B"/>
    <w:rsid w:val="00115CB8"/>
    <w:rsid w:val="00120046"/>
    <w:rsid w:val="00121ABA"/>
    <w:rsid w:val="00132BE7"/>
    <w:rsid w:val="001353AD"/>
    <w:rsid w:val="00150618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5CF1"/>
    <w:rsid w:val="001E4D39"/>
    <w:rsid w:val="001F36F4"/>
    <w:rsid w:val="001F5AE3"/>
    <w:rsid w:val="0020006B"/>
    <w:rsid w:val="00201228"/>
    <w:rsid w:val="00211C26"/>
    <w:rsid w:val="002213CB"/>
    <w:rsid w:val="00240007"/>
    <w:rsid w:val="00246554"/>
    <w:rsid w:val="0025403B"/>
    <w:rsid w:val="00257113"/>
    <w:rsid w:val="00257C30"/>
    <w:rsid w:val="00262D25"/>
    <w:rsid w:val="00280160"/>
    <w:rsid w:val="00285D97"/>
    <w:rsid w:val="0028640B"/>
    <w:rsid w:val="00292ED1"/>
    <w:rsid w:val="00293118"/>
    <w:rsid w:val="0029369A"/>
    <w:rsid w:val="002962A8"/>
    <w:rsid w:val="002A349B"/>
    <w:rsid w:val="002A39F3"/>
    <w:rsid w:val="002B01BE"/>
    <w:rsid w:val="002B7C4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2BF5"/>
    <w:rsid w:val="00327CF0"/>
    <w:rsid w:val="00327CFF"/>
    <w:rsid w:val="0033268D"/>
    <w:rsid w:val="003341DA"/>
    <w:rsid w:val="00335C85"/>
    <w:rsid w:val="0033695B"/>
    <w:rsid w:val="00351B81"/>
    <w:rsid w:val="0035206D"/>
    <w:rsid w:val="00352791"/>
    <w:rsid w:val="0035491C"/>
    <w:rsid w:val="003553EA"/>
    <w:rsid w:val="00356E9A"/>
    <w:rsid w:val="00391EE1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23C51"/>
    <w:rsid w:val="00433866"/>
    <w:rsid w:val="00455013"/>
    <w:rsid w:val="0046092E"/>
    <w:rsid w:val="004610E8"/>
    <w:rsid w:val="00465EA4"/>
    <w:rsid w:val="00472C6E"/>
    <w:rsid w:val="00473233"/>
    <w:rsid w:val="004912DE"/>
    <w:rsid w:val="00494EA2"/>
    <w:rsid w:val="004A4443"/>
    <w:rsid w:val="004B1FAC"/>
    <w:rsid w:val="004B7410"/>
    <w:rsid w:val="004C2645"/>
    <w:rsid w:val="004C4FF2"/>
    <w:rsid w:val="004D76F7"/>
    <w:rsid w:val="004E3A26"/>
    <w:rsid w:val="0050445B"/>
    <w:rsid w:val="005047F5"/>
    <w:rsid w:val="005049C7"/>
    <w:rsid w:val="00524E58"/>
    <w:rsid w:val="00536AEE"/>
    <w:rsid w:val="00537A17"/>
    <w:rsid w:val="005514D8"/>
    <w:rsid w:val="00551E39"/>
    <w:rsid w:val="00552816"/>
    <w:rsid w:val="0055580F"/>
    <w:rsid w:val="00560950"/>
    <w:rsid w:val="00562B75"/>
    <w:rsid w:val="00567F04"/>
    <w:rsid w:val="005827EC"/>
    <w:rsid w:val="00585B96"/>
    <w:rsid w:val="00594DBA"/>
    <w:rsid w:val="005A4699"/>
    <w:rsid w:val="005D576A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B6E15"/>
    <w:rsid w:val="006C066D"/>
    <w:rsid w:val="006D43A1"/>
    <w:rsid w:val="006E06C3"/>
    <w:rsid w:val="006E3012"/>
    <w:rsid w:val="006F7A48"/>
    <w:rsid w:val="0070110A"/>
    <w:rsid w:val="00703EF0"/>
    <w:rsid w:val="007101E3"/>
    <w:rsid w:val="00710429"/>
    <w:rsid w:val="00715894"/>
    <w:rsid w:val="007162E0"/>
    <w:rsid w:val="00734E64"/>
    <w:rsid w:val="00735AAB"/>
    <w:rsid w:val="00736B8D"/>
    <w:rsid w:val="00740A13"/>
    <w:rsid w:val="00743E73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D23C6"/>
    <w:rsid w:val="007E5E21"/>
    <w:rsid w:val="00802DB2"/>
    <w:rsid w:val="00810FA9"/>
    <w:rsid w:val="008179CE"/>
    <w:rsid w:val="00822BBD"/>
    <w:rsid w:val="008355A6"/>
    <w:rsid w:val="00840480"/>
    <w:rsid w:val="00842E5D"/>
    <w:rsid w:val="00845E13"/>
    <w:rsid w:val="008525E4"/>
    <w:rsid w:val="00857D6E"/>
    <w:rsid w:val="00867A87"/>
    <w:rsid w:val="00871C3C"/>
    <w:rsid w:val="00872DDD"/>
    <w:rsid w:val="0089710B"/>
    <w:rsid w:val="008A1242"/>
    <w:rsid w:val="008A3DA7"/>
    <w:rsid w:val="008A6AAF"/>
    <w:rsid w:val="008A770A"/>
    <w:rsid w:val="008C06D3"/>
    <w:rsid w:val="008C37E6"/>
    <w:rsid w:val="008D0063"/>
    <w:rsid w:val="008D1487"/>
    <w:rsid w:val="008D6EB0"/>
    <w:rsid w:val="008E0C54"/>
    <w:rsid w:val="008E3B42"/>
    <w:rsid w:val="00900669"/>
    <w:rsid w:val="00911A26"/>
    <w:rsid w:val="00915CB9"/>
    <w:rsid w:val="009313A7"/>
    <w:rsid w:val="00936531"/>
    <w:rsid w:val="00937908"/>
    <w:rsid w:val="009428A9"/>
    <w:rsid w:val="009502DD"/>
    <w:rsid w:val="009560BB"/>
    <w:rsid w:val="009561DA"/>
    <w:rsid w:val="00970D38"/>
    <w:rsid w:val="00974617"/>
    <w:rsid w:val="00977146"/>
    <w:rsid w:val="00980B4B"/>
    <w:rsid w:val="00983C0F"/>
    <w:rsid w:val="00987D1B"/>
    <w:rsid w:val="009A06A1"/>
    <w:rsid w:val="009A271F"/>
    <w:rsid w:val="009B4FCF"/>
    <w:rsid w:val="009B58B6"/>
    <w:rsid w:val="009C7C74"/>
    <w:rsid w:val="009D2BEB"/>
    <w:rsid w:val="009E5EB3"/>
    <w:rsid w:val="009E625D"/>
    <w:rsid w:val="009F2EB9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1064"/>
    <w:rsid w:val="00A93E38"/>
    <w:rsid w:val="00A945E8"/>
    <w:rsid w:val="00AB48C7"/>
    <w:rsid w:val="00AB4D7B"/>
    <w:rsid w:val="00AB4FB4"/>
    <w:rsid w:val="00AB5F35"/>
    <w:rsid w:val="00AD4E4E"/>
    <w:rsid w:val="00AE06D7"/>
    <w:rsid w:val="00AE0F77"/>
    <w:rsid w:val="00AF6968"/>
    <w:rsid w:val="00B05905"/>
    <w:rsid w:val="00B22CEB"/>
    <w:rsid w:val="00B43275"/>
    <w:rsid w:val="00B715B1"/>
    <w:rsid w:val="00B71D3A"/>
    <w:rsid w:val="00B82621"/>
    <w:rsid w:val="00B8747E"/>
    <w:rsid w:val="00B90CE6"/>
    <w:rsid w:val="00B961B2"/>
    <w:rsid w:val="00B9671F"/>
    <w:rsid w:val="00B97258"/>
    <w:rsid w:val="00BA0535"/>
    <w:rsid w:val="00BA6305"/>
    <w:rsid w:val="00BB295D"/>
    <w:rsid w:val="00BC31EE"/>
    <w:rsid w:val="00BC535B"/>
    <w:rsid w:val="00BC67F6"/>
    <w:rsid w:val="00BC7ED9"/>
    <w:rsid w:val="00BD5879"/>
    <w:rsid w:val="00BE02B1"/>
    <w:rsid w:val="00BE167E"/>
    <w:rsid w:val="00BE5727"/>
    <w:rsid w:val="00BF13AA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57329"/>
    <w:rsid w:val="00C64DEC"/>
    <w:rsid w:val="00C66B8A"/>
    <w:rsid w:val="00C7353D"/>
    <w:rsid w:val="00C752CC"/>
    <w:rsid w:val="00C82CA2"/>
    <w:rsid w:val="00C87F57"/>
    <w:rsid w:val="00C93598"/>
    <w:rsid w:val="00C96C06"/>
    <w:rsid w:val="00CA2482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367D8"/>
    <w:rsid w:val="00D41D86"/>
    <w:rsid w:val="00D437BF"/>
    <w:rsid w:val="00D56169"/>
    <w:rsid w:val="00D62C66"/>
    <w:rsid w:val="00D65B8D"/>
    <w:rsid w:val="00D7017A"/>
    <w:rsid w:val="00D71A5E"/>
    <w:rsid w:val="00D72ED9"/>
    <w:rsid w:val="00D84ADB"/>
    <w:rsid w:val="00D84C4B"/>
    <w:rsid w:val="00D86E0B"/>
    <w:rsid w:val="00DA043F"/>
    <w:rsid w:val="00DB5642"/>
    <w:rsid w:val="00DB6B34"/>
    <w:rsid w:val="00DB74BC"/>
    <w:rsid w:val="00DC4C8F"/>
    <w:rsid w:val="00DD7C9A"/>
    <w:rsid w:val="00DF208A"/>
    <w:rsid w:val="00DF7584"/>
    <w:rsid w:val="00E00790"/>
    <w:rsid w:val="00E17CE0"/>
    <w:rsid w:val="00E34E44"/>
    <w:rsid w:val="00E43F4A"/>
    <w:rsid w:val="00E50C24"/>
    <w:rsid w:val="00E513B3"/>
    <w:rsid w:val="00E53C2B"/>
    <w:rsid w:val="00E62112"/>
    <w:rsid w:val="00E66AC6"/>
    <w:rsid w:val="00E709A6"/>
    <w:rsid w:val="00E76432"/>
    <w:rsid w:val="00E806D1"/>
    <w:rsid w:val="00E82EDD"/>
    <w:rsid w:val="00E90474"/>
    <w:rsid w:val="00EA22ED"/>
    <w:rsid w:val="00EB5912"/>
    <w:rsid w:val="00EB5F72"/>
    <w:rsid w:val="00EC559F"/>
    <w:rsid w:val="00EE70C4"/>
    <w:rsid w:val="00EF09E1"/>
    <w:rsid w:val="00EF6129"/>
    <w:rsid w:val="00F104EF"/>
    <w:rsid w:val="00F11610"/>
    <w:rsid w:val="00F13A76"/>
    <w:rsid w:val="00F14327"/>
    <w:rsid w:val="00F30519"/>
    <w:rsid w:val="00F30D9B"/>
    <w:rsid w:val="00F43670"/>
    <w:rsid w:val="00F61CB9"/>
    <w:rsid w:val="00F70D34"/>
    <w:rsid w:val="00F92539"/>
    <w:rsid w:val="00F96A56"/>
    <w:rsid w:val="00FA6CBE"/>
    <w:rsid w:val="00FB1B4B"/>
    <w:rsid w:val="00FB20C5"/>
    <w:rsid w:val="00FB38EE"/>
    <w:rsid w:val="00FB48CC"/>
    <w:rsid w:val="00FD0729"/>
    <w:rsid w:val="00FD26CB"/>
    <w:rsid w:val="00FD4D3A"/>
    <w:rsid w:val="00FD58AC"/>
    <w:rsid w:val="00FF465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29D76A1"/>
  <w15:docId w15:val="{D3D5749E-8D04-4EEA-AC98-EA873229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uiPriority w:val="20"/>
    <w:qFormat/>
    <w:rsid w:val="0055580F"/>
    <w:rPr>
      <w:i/>
      <w:iCs/>
    </w:rPr>
  </w:style>
  <w:style w:type="character" w:styleId="Strong">
    <w:name w:val="Strong"/>
    <w:basedOn w:val="DefaultParagraphFont"/>
    <w:uiPriority w:val="22"/>
    <w:qFormat/>
    <w:rsid w:val="001C5C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F24AD-98FE-4022-8160-1C1FD859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2520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2017-09-20T12:25:00Z</cp:lastPrinted>
  <dcterms:created xsi:type="dcterms:W3CDTF">2023-05-12T06:35:00Z</dcterms:created>
  <dcterms:modified xsi:type="dcterms:W3CDTF">2023-05-12T07:03:00Z</dcterms:modified>
</cp:coreProperties>
</file>