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8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D6808E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D6808EA" w14:textId="77777777">
            <w:pPr>
              <w:jc w:val="center"/>
            </w:pPr>
            <w:r>
              <w:rPr>
                <w:noProof/>
                <w:lang w:val="en-US" w:eastAsia="ja-JP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D6808EE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1D6808EC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1D6808ED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1D6808EF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1D6808F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D6808F0" w14:textId="0ED5F37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D6808F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D6808F2" w14:textId="41E44D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PURE </w:t>
            </w:r>
            <w:r>
              <w:rPr>
                <w:rFonts w:ascii="Times New Roman" w:hAnsi="Times New Roman"/>
                <w:sz w:val="24"/>
                <w:szCs w:val="24"/>
              </w:rPr>
              <w:t>Academy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1D6808F7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1D6808F4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6808F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D6808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1D6808FB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D6808F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23.10.2023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6808F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D6808FA" w14:textId="533A8E3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Nr.42103062204</w:t>
            </w:r>
          </w:p>
        </w:tc>
      </w:tr>
      <w:tr w14:paraId="1D6808FF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D6808F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6808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1D6808F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D680903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D6809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6809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D680902" w14:textId="2704765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Lielā iela 12-11N, LV-3401</w:t>
            </w:r>
          </w:p>
        </w:tc>
      </w:tr>
      <w:tr w14:paraId="1D680907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1D68090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68090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D68090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D68090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D68090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/238</w:t>
      </w:r>
    </w:p>
    <w:p w:rsidR="00C959F6" w:rsidP="00070E23" w14:paraId="1D68090A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D68090B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1D68090E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6809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F4EF7" w14:paraId="1D68090D" w14:textId="13842D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dzīvojamā māja kadastra Nr.64270030021002, saimniecības ēka kadastra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Nr.64270030021004,  pirts kadastra Nr.64270030021003 un teritorija.</w:t>
            </w:r>
          </w:p>
        </w:tc>
      </w:tr>
      <w:tr w14:paraId="1D68091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6809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68091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D680914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6809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1D680913" w14:textId="49F88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Tūbeļi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”, Durbes pagasts, Dienvidkurzemes novads, LV-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3445 (turpmāk –</w:t>
            </w:r>
            <w:r w:rsidRPr="00864C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C2A">
              <w:rPr>
                <w:rFonts w:ascii="Times New Roman" w:hAnsi="Times New Roman" w:cs="Times New Roman"/>
                <w:sz w:val="24"/>
                <w:szCs w:val="24"/>
              </w:rPr>
              <w:t>objekts).</w:t>
            </w:r>
          </w:p>
        </w:tc>
      </w:tr>
      <w:tr w14:paraId="1D68091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1D68091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1D6809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68091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68091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680919" w14:textId="3C28C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Inga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Sprice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14:paraId="1D68091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68091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68091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D68092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1D6809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68091F" w14:textId="2859E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4C2A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864C2A">
              <w:rPr>
                <w:rFonts w:ascii="Times New Roman" w:hAnsi="Times New Roman" w:cs="Times New Roman"/>
                <w:sz w:val="24"/>
                <w:szCs w:val="24"/>
              </w:rPr>
              <w:t>Tūbeļi</w:t>
            </w:r>
            <w:r w:rsidRPr="00864C2A">
              <w:rPr>
                <w:rFonts w:ascii="Times New Roman" w:hAnsi="Times New Roman" w:cs="Times New Roman"/>
                <w:sz w:val="24"/>
                <w:szCs w:val="24"/>
              </w:rPr>
              <w:t>”, Durbes pagasts, Dienvidkurzemes novads.</w:t>
            </w:r>
          </w:p>
        </w:tc>
      </w:tr>
      <w:tr w14:paraId="1D68092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1D68092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68092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numurs un adrese vai fiziskās personas adrese)</w:t>
            </w:r>
          </w:p>
        </w:tc>
      </w:tr>
      <w:tr w14:paraId="1D68092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6809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F4EF7" w14:paraId="1D680925" w14:textId="00CF7B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 xml:space="preserve">nometnes vadītājas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Ingas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Sprices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 xml:space="preserve">.gada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17.oktobra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iesniegums, 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kas Valsts ugunsdzēsības un glābšanas dienesta Kurzemes reģiona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pārvaldē 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reģistrēts 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4D1F">
              <w:rPr>
                <w:rFonts w:ascii="Times New Roman" w:hAnsi="Times New Roman" w:cs="Times New Roman"/>
                <w:sz w:val="24"/>
                <w:szCs w:val="24"/>
              </w:rPr>
              <w:t>22/12-1.4/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748.</w:t>
            </w:r>
          </w:p>
        </w:tc>
      </w:tr>
      <w:tr w14:paraId="1D68092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68092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4F4EF7" w14:paraId="1D680928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68092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6809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F4EF7" w14:paraId="1D68092B" w14:textId="32B211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Objektā izvietotas trīs ēkas: 2 stāvu dzīvojamā māja, 2 stāvu pirts un 2 stāvu saimniecības ēka. Objektā katras ēkas katrs stāvs aprīkots ar</w:t>
            </w:r>
            <w:r w:rsidRPr="00DF2818">
              <w:rPr>
                <w:rFonts w:ascii="Times New Roman" w:hAnsi="Times New Roman" w:cs="Times New Roman"/>
                <w:sz w:val="24"/>
                <w:szCs w:val="24"/>
              </w:rPr>
              <w:t xml:space="preserve"> autonomajiem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dūmu detektoriem, tādejādi</w:t>
            </w:r>
            <w:r w:rsidRPr="00DF2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nodrošinot  cilvēku </w:t>
            </w:r>
            <w:r w:rsidRPr="00E86647">
              <w:rPr>
                <w:rFonts w:ascii="Times New Roman" w:hAnsi="Times New Roman" w:cs="Times New Roman"/>
                <w:sz w:val="24"/>
                <w:szCs w:val="24"/>
              </w:rPr>
              <w:t>izmitināšanu naktī līdz desmit personām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katrā ēkā</w:t>
            </w:r>
            <w:r w:rsidRPr="00E866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Objektā izvietoti pārnēsājamie ugunsdzēsības aparāti, ugunsdzēsības pārklājs un evakuācijas plāni. Ēkas nodrošinātas ar evakuācijas izejām.</w:t>
            </w:r>
          </w:p>
        </w:tc>
      </w:tr>
      <w:tr w14:paraId="1D68092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6809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4F4EF7" w14:paraId="1D68092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68093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68093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F4EF7" w14:paraId="1D680931" w14:textId="745A8C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1D68093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68093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4F4EF7" w14:paraId="1D680934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68093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6809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4F4EF7" w14:paraId="1D680937" w14:textId="451E4DC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Objekts atbilst ugunsdrošības prasībām (Objektu atļauts izmantot diennakts nometnei ar nosacījumu, ka katrā ēkā tiek izmitināti līdz 10 cilvēkiem).</w:t>
            </w:r>
          </w:p>
        </w:tc>
      </w:tr>
      <w:tr w14:paraId="1D68093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68093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1D6809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68093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6809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68093D" w14:textId="7B46A3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621B">
              <w:rPr>
                <w:rFonts w:ascii="Times New Roman" w:hAnsi="Times New Roman" w:cs="Times New Roman"/>
                <w:sz w:val="24"/>
                <w:szCs w:val="24"/>
              </w:rPr>
              <w:t>Ministru kabineta 2009.gada 1.septembra noteikumu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Nr.981 “Bērnu nometņu organizēšanas un darba kārtība” 8.5.apakšpunkta prasībām.</w:t>
            </w:r>
          </w:p>
        </w:tc>
      </w:tr>
      <w:tr w14:paraId="1D68094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68093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1D68094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D68094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6809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1D680943" w14:textId="3404F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8621B">
              <w:rPr>
                <w:rFonts w:ascii="Times New Roman" w:hAnsi="Times New Roman" w:cs="Times New Roman"/>
                <w:sz w:val="24"/>
                <w:szCs w:val="24"/>
              </w:rPr>
              <w:t>Valsts izglītības satura centrā.</w:t>
            </w:r>
          </w:p>
        </w:tc>
      </w:tr>
      <w:tr w14:paraId="1D680947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D68094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1D680946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1D68094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1D68094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4F4EF7" w14:paraId="4BE86354" w14:textId="7777777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245E2" w:rsidRPr="007D2C05" w:rsidP="003E7B32" w14:paraId="1D68094A" w14:textId="3EB1F3F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</w:t>
      </w:r>
      <w:r w:rsidRPr="007D2C05">
        <w:rPr>
          <w:rFonts w:ascii="Times New Roman" w:hAnsi="Times New Roman" w:cs="Times New Roman"/>
          <w:sz w:val="24"/>
          <w:szCs w:val="24"/>
        </w:rPr>
        <w:t>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D68094C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1D6809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D68094E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D68094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1D68094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D680955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4F4EF7" w:rsidRPr="007D2C05" w:rsidP="004F4EF7" w14:paraId="1D680950" w14:textId="3F260B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DA9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Kurzemes reģiona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pārvaldes </w:t>
            </w:r>
            <w:r w:rsidRPr="0054505C">
              <w:rPr>
                <w:rFonts w:ascii="Times New Roman" w:hAnsi="Times New Roman" w:cs="Times New Roman"/>
                <w:sz w:val="24"/>
                <w:szCs w:val="24"/>
              </w:rPr>
              <w:t xml:space="preserve">Ugunsdrošības uzraudzības un civilās aizsardzības nodaļas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vecākā </w:t>
            </w:r>
            <w:r w:rsidRPr="0054505C">
              <w:rPr>
                <w:rFonts w:ascii="Times New Roman" w:hAnsi="Times New Roman" w:cs="Times New Roman"/>
                <w:sz w:val="24"/>
                <w:szCs w:val="24"/>
              </w:rPr>
              <w:t>inspektore</w:t>
            </w:r>
          </w:p>
        </w:tc>
        <w:tc>
          <w:tcPr>
            <w:tcW w:w="284" w:type="dxa"/>
            <w:vAlign w:val="bottom"/>
          </w:tcPr>
          <w:p w:rsidR="004F4EF7" w:rsidRPr="007D2C05" w:rsidP="004F4EF7" w14:paraId="1D68095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F4EF7" w:rsidRPr="007D2C05" w:rsidP="004F4EF7" w14:paraId="1D680952" w14:textId="307575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4F4EF7" w:rsidRPr="007D2C05" w:rsidP="004F4EF7" w14:paraId="1D6809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4F4EF7" w:rsidRPr="007D2C05" w:rsidP="004F4EF7" w14:paraId="1D680954" w14:textId="6223E1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A.Finka</w:t>
            </w:r>
          </w:p>
        </w:tc>
      </w:tr>
      <w:tr w14:paraId="1D68095B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4F4EF7" w:rsidRPr="00B245E2" w:rsidP="004F4EF7" w14:paraId="1D6809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4F4EF7" w:rsidRPr="00B245E2" w:rsidP="004F4EF7" w14:paraId="1D68095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F4EF7" w:rsidRPr="00B245E2" w:rsidP="004F4EF7" w14:paraId="1D68095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4F4EF7" w:rsidRPr="00B245E2" w:rsidP="004F4EF7" w14:paraId="1D6809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4F4EF7" w:rsidRPr="00B245E2" w:rsidP="004F4EF7" w14:paraId="1D68095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D68095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D68095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D68096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4F4EF7" w14:paraId="1D68095E" w14:textId="297E9B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elektroniski.</w:t>
            </w:r>
          </w:p>
        </w:tc>
        <w:tc>
          <w:tcPr>
            <w:tcW w:w="284" w:type="dxa"/>
            <w:vAlign w:val="bottom"/>
          </w:tcPr>
          <w:p w:rsidR="007D2C05" w:rsidP="007D2C05" w14:paraId="1D6809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D6809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680965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D6809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D6809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D6809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D68096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D68096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D680968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D680969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D68096A" w14:textId="1592EE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1D68096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D68097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680972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68097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D68096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34048506"/>
      <w:docPartObj>
        <w:docPartGallery w:val="Page Numbers (Top of Page)"/>
        <w:docPartUnique/>
      </w:docPartObj>
    </w:sdtPr>
    <w:sdtContent>
      <w:p w:rsidR="00E227D8" w:rsidRPr="00762AE8" w14:paraId="1D68096F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D68097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D68097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281811"/>
    <w:rsid w:val="002A02AD"/>
    <w:rsid w:val="002A6FA2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4F4EF7"/>
    <w:rsid w:val="0054505C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64C2A"/>
    <w:rsid w:val="00884E35"/>
    <w:rsid w:val="008A30BC"/>
    <w:rsid w:val="00922C9D"/>
    <w:rsid w:val="00964438"/>
    <w:rsid w:val="0097786E"/>
    <w:rsid w:val="009A1DA9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8621B"/>
    <w:rsid w:val="00B97A08"/>
    <w:rsid w:val="00BB5A54"/>
    <w:rsid w:val="00BF7B87"/>
    <w:rsid w:val="00C33E3A"/>
    <w:rsid w:val="00C51BBF"/>
    <w:rsid w:val="00C522E2"/>
    <w:rsid w:val="00C84D1F"/>
    <w:rsid w:val="00C946FD"/>
    <w:rsid w:val="00C959F6"/>
    <w:rsid w:val="00D639C2"/>
    <w:rsid w:val="00DB3B2E"/>
    <w:rsid w:val="00DD6EF6"/>
    <w:rsid w:val="00DF2818"/>
    <w:rsid w:val="00E0387C"/>
    <w:rsid w:val="00E227D8"/>
    <w:rsid w:val="00E60393"/>
    <w:rsid w:val="00E86647"/>
    <w:rsid w:val="00F3463E"/>
    <w:rsid w:val="00F408A7"/>
    <w:rsid w:val="00FC4CBE"/>
  </w:rsids>
  <m:mathPr>
    <m:mathFont m:val="Cambria Math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D6808E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Finka</cp:lastModifiedBy>
  <cp:revision>9</cp:revision>
  <dcterms:created xsi:type="dcterms:W3CDTF">2022-12-16T07:36:00Z</dcterms:created>
  <dcterms:modified xsi:type="dcterms:W3CDTF">2023-10-23T05:07:00Z</dcterms:modified>
</cp:coreProperties>
</file>