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DBAF7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DBAF7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6DBAF7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6DBAF7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6DBAF7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6DBAF7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6DBAF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732BC0" w:rsidRPr="005D1C44" w:rsidP="00732BC0" w14:paraId="66DBAF77" w14:textId="078386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Jelgava 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732BC0" w:rsidRPr="005D1C44" w:rsidP="00732BC0" w14:paraId="66DBAF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32BC0" w:rsidRPr="00A47DBC" w:rsidP="00732BC0" w14:paraId="66DBAF79" w14:textId="3155B7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66DBAF7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732BC0" w:rsidRPr="005D1C44" w:rsidP="00732BC0" w14:paraId="66DBAF7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732BC0" w:rsidRPr="005D1C44" w:rsidP="00732BC0" w14:paraId="66DBAF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732BC0" w:rsidRPr="005D1C44" w:rsidP="00732BC0" w14:paraId="66DBAF7D" w14:textId="7A8046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6DBAF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732BC0" w:rsidRPr="00D639C2" w:rsidP="00732BC0" w14:paraId="66DBAF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732BC0" w:rsidRPr="005D1C44" w:rsidP="00732BC0" w14:paraId="66DBA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32BC0" w:rsidRPr="005D1C44" w:rsidP="00732BC0" w14:paraId="66DBAF81" w14:textId="262D54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790323">
              <w:rPr>
                <w:rFonts w:ascii="Times New Roman" w:hAnsi="Times New Roman"/>
                <w:color w:val="000000"/>
                <w:sz w:val="24"/>
                <w:szCs w:val="24"/>
              </w:rPr>
              <w:t>90009249367</w:t>
            </w:r>
          </w:p>
        </w:tc>
      </w:tr>
      <w:tr w14:paraId="66DBAF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732BC0" w:rsidRPr="005D1C44" w:rsidP="00732BC0" w14:paraId="66DBAF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732BC0" w:rsidRPr="005D1C44" w:rsidP="00732BC0" w14:paraId="66DBAF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732BC0" w:rsidP="00732BC0" w14:paraId="787092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732BC0" w:rsidRPr="005D1C44" w:rsidP="00732BC0" w14:paraId="66DBAF85" w14:textId="3409D6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66DBAF8A" w14:textId="77777777" w:rsidTr="0071022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732BC0" w:rsidRPr="005D1C44" w:rsidP="00732BC0" w14:paraId="66DBAF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732BC0" w:rsidRPr="005D1C44" w:rsidP="00732BC0" w14:paraId="66DBAF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32BC0" w:rsidRPr="005D1C44" w:rsidP="00732BC0" w14:paraId="66DBAF89" w14:textId="11B81D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Rūpniecības iela 13, k-4, Jūrmala</w:t>
            </w:r>
            <w:r w:rsidRPr="00790323">
              <w:rPr>
                <w:rFonts w:ascii="Times New Roman" w:hAnsi="Times New Roman"/>
                <w:color w:val="000000"/>
                <w:sz w:val="24"/>
                <w:szCs w:val="24"/>
              </w:rPr>
              <w:t>, LV 2016</w:t>
            </w:r>
          </w:p>
        </w:tc>
      </w:tr>
      <w:tr w14:paraId="66DBAF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DBAF8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DBAF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6DBAF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DBAF8F" w14:textId="77777777">
      <w:pPr>
        <w:rPr>
          <w:rFonts w:ascii="Times New Roman" w:hAnsi="Times New Roman" w:cs="Times New Roman"/>
          <w:sz w:val="24"/>
          <w:szCs w:val="24"/>
        </w:rPr>
      </w:pPr>
    </w:p>
    <w:p w:rsidR="00732BC0" w:rsidRPr="00732BC0" w:rsidP="00070E23" w14:paraId="7A8A47F4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66DBAF9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/176</w:t>
      </w:r>
    </w:p>
    <w:p w:rsidR="00C959F6" w:rsidP="00070E23" w14:paraId="66DBAF9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66DBAF92" w14:textId="77777777">
      <w:pPr>
        <w:rPr>
          <w:rFonts w:ascii="Times New Roman" w:hAnsi="Times New Roman" w:cs="Times New Roman"/>
          <w:sz w:val="20"/>
          <w:szCs w:val="24"/>
        </w:rPr>
      </w:pPr>
    </w:p>
    <w:p w:rsidR="00732BC0" w:rsidRPr="00762AE8" w:rsidP="00732BC0" w14:paraId="25F76031" w14:textId="77777777">
      <w:pPr>
        <w:spacing w:after="0"/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3A54EFCC" w14:textId="77777777" w:rsidTr="00D90912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7F9FF2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362EBE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Jelgavas novada pašvaldības izglītības iestādes Sesavas pamatskola 1.stāva klašu telpas un koplietošanas telpas, un Jelgavas novada Sporta centra Sesavas sporta halle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(turpmāk –Objekts) </w:t>
            </w:r>
          </w:p>
        </w:tc>
      </w:tr>
      <w:tr w14:paraId="7C082547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67804A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3FC4CD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1011DF7" w14:textId="77777777" w:rsidTr="00D90912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5F8B1E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77213B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Skolas iela 1  Sesava, Sesavas </w:t>
            </w:r>
            <w:r w:rsidRPr="001F0D5C">
              <w:rPr>
                <w:rFonts w:ascii="Times New Roman" w:hAnsi="Times New Roman"/>
                <w:sz w:val="24"/>
                <w:szCs w:val="24"/>
              </w:rPr>
              <w:t>pagast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Jelgavas novads, LV-3034</w:t>
            </w:r>
          </w:p>
        </w:tc>
      </w:tr>
      <w:tr w14:paraId="0F2AC842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732BC0" w:rsidRPr="00070E23" w:rsidP="00D90912" w14:paraId="32E760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732BC0" w:rsidRPr="00070E23" w:rsidP="00D90912" w14:paraId="7170CB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76A38C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77513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02835C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35B0059C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566CF0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2C4D89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2956627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732BC0" w:rsidRPr="00E227D8" w:rsidP="00D90912" w14:paraId="3CD40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2E5D0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688825A8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732BC0" w:rsidRPr="00070E23" w:rsidP="00D90912" w14:paraId="787CC7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65FE517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57C1F1E8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4A199F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540ED3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Jūrmalas Sporta skolas nometnes vadītāja Gundara Siliņa</w:t>
            </w:r>
          </w:p>
        </w:tc>
      </w:tr>
      <w:tr w14:paraId="6FA679C5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P="00D90912" w14:paraId="466A26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71589DB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2023.gada 27.jūnija iesniegums Nr. B/N</w:t>
            </w:r>
          </w:p>
        </w:tc>
      </w:tr>
      <w:tr w14:paraId="29B44015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609A7F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220B61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3A4955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030B1F1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5CB4E82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skolas telpas ir aprīkotas ar </w:t>
            </w:r>
          </w:p>
        </w:tc>
      </w:tr>
      <w:tr w14:paraId="1ED1EBF4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P="00D90912" w14:paraId="0E1BF85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621370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 (turpmāk – </w:t>
            </w:r>
          </w:p>
        </w:tc>
      </w:tr>
      <w:tr w14:paraId="24416296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P="00D90912" w14:paraId="7655A6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P="00D90912" w14:paraId="4EE0E1C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AUATSS), automātisko ugunsgrēka balss izziņošanas sistēmu un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 xml:space="preserve"> ugunsdzēsības</w:t>
            </w:r>
          </w:p>
        </w:tc>
      </w:tr>
      <w:tr w14:paraId="081812D9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P="00D90912" w14:paraId="7B6FD4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P="00D90912" w14:paraId="0C2BD1B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Objekta sporta halles telpas aprīkotas ar AUATSS un ugunsdzēsības aparātiem.</w:t>
            </w:r>
          </w:p>
        </w:tc>
      </w:tr>
      <w:tr w14:paraId="39AB1F8D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1E97D4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41BAE3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B46F9C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P="00D90912" w14:paraId="74E64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32BC0" w:rsidRPr="005C5C3C" w:rsidP="00D90912" w14:paraId="40327A1F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P="00D90912" w14:paraId="6B83D8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2BC0" w:rsidP="00D90912" w14:paraId="3C19172F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Pr="00BC313D">
              <w:rPr>
                <w:rFonts w:ascii="Times New Roman" w:hAnsi="Times New Roman"/>
                <w:sz w:val="24"/>
                <w:szCs w:val="24"/>
              </w:rPr>
              <w:t>Atsevišķās vietās Objekta evakuācijas plāni nav izvietoti apgaismotās vietās vai izgatavoti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luminiscējošiem materiāliem;</w:t>
            </w:r>
          </w:p>
          <w:p w:rsidR="00732BC0" w:rsidP="00D90912" w14:paraId="299B4981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Nav veikta Objekta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skolas ēkā (būve ar kadastra apzīmējumu 54740050057001) un sporta hallē (būve ar kadastra apzīmējumu 54740050057004)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ierīkoto mehānisko ventilācijas sistēmu</w:t>
            </w:r>
            <w:r w:rsidRPr="004F21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tehniskā stāvokļa pārbaude un tīrīšana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  <w:p w:rsidR="00732BC0" w:rsidRPr="005C5C3C" w:rsidP="00D90912" w14:paraId="455FB520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6.3.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 xml:space="preserve">Objekta </w:t>
            </w:r>
            <w:r w:rsidRPr="00037E5C">
              <w:rPr>
                <w:rFonts w:ascii="Times New Roman" w:hAnsi="Times New Roman"/>
                <w:sz w:val="24"/>
                <w:szCs w:val="24"/>
              </w:rPr>
              <w:t>Ugunsaizsardzības sistēmas iedarbošanās gadījumu un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bojājumu uzskaites žurnālā (9.</w:t>
            </w:r>
            <w:r w:rsidRPr="00037E5C">
              <w:rPr>
                <w:rFonts w:ascii="Times New Roman" w:hAnsi="Times New Roman"/>
                <w:sz w:val="24"/>
                <w:szCs w:val="24"/>
              </w:rPr>
              <w:t>pielikums) nav norādīti nosacījumi saskaņā ar ko tiek veikta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Objekta skolas ēkā (būve ar kadastra apzīmējumu 54740050057001) izbūvētās automāti</w:t>
            </w:r>
            <w:r w:rsidRPr="00037E5C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037E5C">
              <w:rPr>
                <w:rFonts w:ascii="Times New Roman" w:hAnsi="Times New Roman"/>
                <w:sz w:val="24"/>
                <w:szCs w:val="24"/>
              </w:rPr>
              <w:t xml:space="preserve">ās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ugunsgrēka </w:t>
            </w:r>
            <w:r w:rsidRPr="00037E5C">
              <w:rPr>
                <w:rFonts w:ascii="Times New Roman" w:hAnsi="Times New Roman"/>
                <w:sz w:val="24"/>
                <w:szCs w:val="24"/>
              </w:rPr>
              <w:t xml:space="preserve">balss izziņošanas sistēmas </w:t>
            </w:r>
            <w:r>
              <w:rPr>
                <w:rFonts w:ascii="Times New Roman" w:hAnsi="Times New Roman"/>
                <w:sz w:val="24"/>
                <w:szCs w:val="24"/>
              </w:rPr>
              <w:t>tehniskā apkope un uzturēšana.</w:t>
            </w:r>
          </w:p>
        </w:tc>
      </w:tr>
      <w:tr w14:paraId="73336CA9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3C2A65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417651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6B2C95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16DC7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233C17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prasībām, bet nav aizliegta tā ekspluatācija.</w:t>
            </w:r>
          </w:p>
        </w:tc>
      </w:tr>
      <w:tr w14:paraId="76C84E26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519A20A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20E470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EE8747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7D6AF4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0B2B08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28ED6AAB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35C86E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6537CE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732903" w14:textId="77777777" w:rsidTr="00D90912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32BC0" w:rsidRPr="00E227D8" w:rsidP="00D90912" w14:paraId="3721D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732BC0" w:rsidRPr="00E227D8" w:rsidP="00D90912" w14:paraId="297C0F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AAA83AC" w14:textId="77777777" w:rsidTr="00D90912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732BC0" w:rsidRPr="00070E23" w:rsidP="00D90912" w14:paraId="37F909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732BC0" w:rsidRPr="00070E23" w:rsidP="00D90912" w14:paraId="67EFEED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32BC0" w:rsidP="006643B9" w14:paraId="5F52FCF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6643B9" w14:paraId="66DBAFC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6DBAFD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6DBAFD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DBAFD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6DBAF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6DBAFD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6DBAFD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DBAFD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DBAFD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32BC0" w14:paraId="66DBAFD7" w14:textId="2E0262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DBA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6DBAF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6DBA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32BC0" w14:paraId="66DBAFDB" w14:textId="4B2BF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66DBAFE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6DBAF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6DBAF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6DBAF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6DBAF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6DBAF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6DBAFE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6DBAFE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DBAFE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6DBAFE5" w14:textId="3964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01.08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e-pastu: </w:t>
            </w:r>
            <w:r>
              <w:rPr>
                <w:rStyle w:val="Hyperlink"/>
                <w:rFonts w:ascii="Times New Roman" w:hAnsi="Times New Roman" w:cs="Times New Roman"/>
                <w:i/>
                <w:sz w:val="24"/>
                <w:szCs w:val="24"/>
              </w:rPr>
              <w:t>Gundars.Silins@edu.jurmala.lv</w:t>
            </w:r>
            <w:r w:rsidRPr="00BC313D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hyperlink r:id="rId7" w:history="1">
              <w:r w:rsidRPr="00A96411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nometnes@visc.gov.lv</w:t>
              </w:r>
            </w:hyperlink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66DBA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6DBAF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DBAFE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6DBAF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DBAF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6DBAF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6DBAFE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6DBAFE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6DBAFE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6DBAFF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6DBAFF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66DBAFF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DBAFF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DBAFF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DBAFF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6DBAFF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66009285"/>
      <w:docPartObj>
        <w:docPartGallery w:val="Page Numbers (Top of Page)"/>
        <w:docPartUnique/>
      </w:docPartObj>
    </w:sdtPr>
    <w:sdtContent>
      <w:p w:rsidR="00E227D8" w:rsidRPr="00762AE8" w14:paraId="66DBAFF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DBAFF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DBAFF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37E5C"/>
    <w:rsid w:val="00060BB1"/>
    <w:rsid w:val="00070E23"/>
    <w:rsid w:val="00105EDB"/>
    <w:rsid w:val="0015650A"/>
    <w:rsid w:val="001A004B"/>
    <w:rsid w:val="001F0D5C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4F2185"/>
    <w:rsid w:val="005911CD"/>
    <w:rsid w:val="00594CE4"/>
    <w:rsid w:val="00595E0E"/>
    <w:rsid w:val="005C1334"/>
    <w:rsid w:val="005C5C3C"/>
    <w:rsid w:val="005D1C44"/>
    <w:rsid w:val="005D635A"/>
    <w:rsid w:val="00635786"/>
    <w:rsid w:val="006643B9"/>
    <w:rsid w:val="006B0B28"/>
    <w:rsid w:val="00724ED0"/>
    <w:rsid w:val="00732BC0"/>
    <w:rsid w:val="00736BC1"/>
    <w:rsid w:val="00762AE8"/>
    <w:rsid w:val="007665C9"/>
    <w:rsid w:val="00790323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638BB"/>
    <w:rsid w:val="00A96411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BC313D"/>
    <w:rsid w:val="00C33E3A"/>
    <w:rsid w:val="00C51BBF"/>
    <w:rsid w:val="00C522E2"/>
    <w:rsid w:val="00C946FD"/>
    <w:rsid w:val="00C959F6"/>
    <w:rsid w:val="00CA6059"/>
    <w:rsid w:val="00CB3357"/>
    <w:rsid w:val="00D639C2"/>
    <w:rsid w:val="00D90912"/>
    <w:rsid w:val="00DB3B2E"/>
    <w:rsid w:val="00E0387C"/>
    <w:rsid w:val="00E227D8"/>
    <w:rsid w:val="00E60393"/>
    <w:rsid w:val="00E66664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DBAF7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yperlink" Target="mailto:nometnes@visc.gov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B7D28-E7AC-42B6-A305-93C4F6FE1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2415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8</cp:revision>
  <dcterms:created xsi:type="dcterms:W3CDTF">2022-04-04T18:02:00Z</dcterms:created>
  <dcterms:modified xsi:type="dcterms:W3CDTF">2023-08-01T10:57:00Z</dcterms:modified>
</cp:coreProperties>
</file>