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90.0" w:type="dxa"/>
        <w:jc w:val="left"/>
        <w:tblInd w:w="108.0" w:type="dxa"/>
        <w:tblLayout w:type="fixed"/>
        <w:tblLook w:val="0400"/>
      </w:tblPr>
      <w:tblGrid>
        <w:gridCol w:w="9390"/>
        <w:tblGridChange w:id="0">
          <w:tblGrid>
            <w:gridCol w:w="9390"/>
          </w:tblGrid>
        </w:tblGridChange>
      </w:tblGrid>
      <w:tr>
        <w:trPr>
          <w:cantSplit w:val="0"/>
          <w:tblHeader w:val="0"/>
        </w:trPr>
        <w:tc>
          <w:tcPr/>
          <w:p w:rsidR="00000000" w:rsidDel="00000000" w:rsidP="00000000" w:rsidRDefault="00000000" w:rsidRPr="00000000" w14:paraId="00000002">
            <w:pPr>
              <w:jc w:val="center"/>
              <w:rPr>
                <w:b w:val="1"/>
                <w:smallCaps w:val="1"/>
              </w:rPr>
            </w:pPr>
            <w:r w:rsidDel="00000000" w:rsidR="00000000" w:rsidRPr="00000000">
              <w:rPr>
                <w:b w:val="1"/>
                <w:smallCaps w:val="1"/>
                <w:rtl w:val="0"/>
              </w:rPr>
              <w:t xml:space="preserve">OBJEKTA HIGIĒNISKAIS NOVĒRTĒJUMS</w:t>
            </w:r>
          </w:p>
        </w:tc>
      </w:tr>
      <w:tr>
        <w:trPr>
          <w:cantSplit w:val="0"/>
          <w:tblHeader w:val="0"/>
        </w:trPr>
        <w:tc>
          <w:tcPr/>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Rīgā</w:t>
            </w:r>
          </w:p>
        </w:tc>
      </w:tr>
    </w:tbl>
    <w:p w:rsidR="00000000" w:rsidDel="00000000" w:rsidP="00000000" w:rsidRDefault="00000000" w:rsidRPr="00000000" w14:paraId="00000004">
      <w:pPr>
        <w:rPr>
          <w:sz w:val="24"/>
          <w:szCs w:val="24"/>
        </w:rPr>
      </w:pPr>
      <w:r w:rsidDel="00000000" w:rsidR="00000000" w:rsidRPr="00000000">
        <w:rPr>
          <w:rtl w:val="0"/>
        </w:rPr>
      </w:r>
    </w:p>
    <w:tbl>
      <w:tblPr>
        <w:tblStyle w:val="Table2"/>
        <w:tblW w:w="2909.0" w:type="dxa"/>
        <w:jc w:val="left"/>
        <w:tblInd w:w="108.0" w:type="dxa"/>
        <w:tblLayout w:type="fixed"/>
        <w:tblLook w:val="0000"/>
      </w:tblPr>
      <w:tblGrid>
        <w:gridCol w:w="2909"/>
        <w:tblGridChange w:id="0">
          <w:tblGrid>
            <w:gridCol w:w="2909"/>
          </w:tblGrid>
        </w:tblGridChange>
      </w:tblGrid>
      <w:tr>
        <w:trPr>
          <w:cantSplit w:val="0"/>
          <w:tblHeader w:val="0"/>
        </w:trPr>
        <w:tc>
          <w:tcPr>
            <w:tcBorders>
              <w:bottom w:color="000000" w:space="0" w:sz="6" w:val="single"/>
            </w:tcBorders>
            <w:vAlign w:val="bottom"/>
          </w:tcPr>
          <w:p w:rsidR="00000000" w:rsidDel="00000000" w:rsidP="00000000" w:rsidRDefault="00000000" w:rsidRPr="00000000" w14:paraId="00000005">
            <w:pPr>
              <w:jc w:val="center"/>
              <w:rPr>
                <w:sz w:val="24"/>
                <w:szCs w:val="24"/>
              </w:rPr>
            </w:pPr>
            <w:r w:rsidDel="00000000" w:rsidR="00000000" w:rsidRPr="00000000">
              <w:rPr>
                <w:sz w:val="22"/>
                <w:szCs w:val="22"/>
                <w:rtl w:val="0"/>
              </w:rPr>
              <w:t xml:space="preserve">22.06.2023</w:t>
            </w:r>
            <w:r w:rsidDel="00000000" w:rsidR="00000000" w:rsidRPr="00000000">
              <w:rPr>
                <w:rtl w:val="0"/>
              </w:rPr>
            </w:r>
          </w:p>
        </w:tc>
      </w:tr>
    </w:tbl>
    <w:p w:rsidR="00000000" w:rsidDel="00000000" w:rsidP="00000000" w:rsidRDefault="00000000" w:rsidRPr="00000000" w14:paraId="00000006">
      <w:pPr>
        <w:tabs>
          <w:tab w:val="left" w:leader="none" w:pos="3825"/>
        </w:tabs>
        <w:rPr>
          <w:sz w:val="24"/>
          <w:szCs w:val="24"/>
        </w:rPr>
      </w:pPr>
      <w:r w:rsidDel="00000000" w:rsidR="00000000" w:rsidRPr="00000000">
        <w:rPr>
          <w:rtl w:val="0"/>
        </w:rPr>
      </w:r>
    </w:p>
    <w:tbl>
      <w:tblPr>
        <w:tblStyle w:val="Table3"/>
        <w:tblW w:w="9385.0" w:type="dxa"/>
        <w:jc w:val="left"/>
        <w:tblInd w:w="108.0" w:type="dxa"/>
        <w:tblLayout w:type="fixed"/>
        <w:tblLook w:val="0400"/>
      </w:tblPr>
      <w:tblGrid>
        <w:gridCol w:w="9385"/>
        <w:tblGridChange w:id="0">
          <w:tblGrid>
            <w:gridCol w:w="93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numPr>
                <w:ilvl w:val="0"/>
                <w:numId w:val="2"/>
              </w:numPr>
              <w:tabs>
                <w:tab w:val="left" w:leader="none" w:pos="252"/>
                <w:tab w:val="left" w:leader="none" w:pos="432"/>
                <w:tab w:val="left" w:leader="none" w:pos="702"/>
                <w:tab w:val="left" w:leader="none" w:pos="993"/>
              </w:tabs>
              <w:spacing w:after="60" w:before="60" w:lineRule="auto"/>
              <w:ind w:left="34" w:firstLine="0"/>
              <w:jc w:val="both"/>
              <w:rPr>
                <w:sz w:val="24"/>
                <w:szCs w:val="24"/>
              </w:rPr>
            </w:pPr>
            <w:r w:rsidDel="00000000" w:rsidR="00000000" w:rsidRPr="00000000">
              <w:rPr>
                <w:b w:val="1"/>
                <w:sz w:val="24"/>
                <w:szCs w:val="24"/>
                <w:rtl w:val="0"/>
              </w:rPr>
              <w:t xml:space="preserve">Objekta nosaukums:</w:t>
            </w:r>
            <w:r w:rsidDel="00000000" w:rsidR="00000000" w:rsidRPr="00000000">
              <w:rPr>
                <w:sz w:val="24"/>
                <w:szCs w:val="24"/>
                <w:rtl w:val="0"/>
              </w:rPr>
              <w:t xml:space="preserve"> Bērnu diennakts nometne “Radīts šim laikam”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numPr>
                <w:ilvl w:val="0"/>
                <w:numId w:val="2"/>
              </w:numPr>
              <w:tabs>
                <w:tab w:val="left" w:leader="none" w:pos="252"/>
                <w:tab w:val="left" w:leader="none" w:pos="432"/>
                <w:tab w:val="left" w:leader="none" w:pos="702"/>
                <w:tab w:val="left" w:leader="none" w:pos="993"/>
              </w:tabs>
              <w:spacing w:after="60" w:before="60" w:lineRule="auto"/>
              <w:ind w:left="0" w:firstLine="0"/>
              <w:jc w:val="both"/>
              <w:rPr>
                <w:sz w:val="24"/>
                <w:szCs w:val="24"/>
              </w:rPr>
            </w:pPr>
            <w:r w:rsidDel="00000000" w:rsidR="00000000" w:rsidRPr="00000000">
              <w:rPr>
                <w:b w:val="1"/>
                <w:sz w:val="24"/>
                <w:szCs w:val="24"/>
                <w:rtl w:val="0"/>
              </w:rPr>
              <w:t xml:space="preserve">Objekta īpašnieks:</w:t>
            </w:r>
            <w:r w:rsidDel="00000000" w:rsidR="00000000" w:rsidRPr="00000000">
              <w:rPr>
                <w:sz w:val="24"/>
                <w:szCs w:val="24"/>
                <w:rtl w:val="0"/>
              </w:rPr>
              <w:t xml:space="preserve"> Telpu lietotājs RO Kristiešu draudze “Prieka Vēsts” reģ. Nr. 90000083853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numPr>
                <w:ilvl w:val="0"/>
                <w:numId w:val="2"/>
              </w:numPr>
              <w:tabs>
                <w:tab w:val="left" w:leader="none" w:pos="252"/>
                <w:tab w:val="left" w:leader="none" w:pos="432"/>
                <w:tab w:val="left" w:leader="none" w:pos="702"/>
                <w:tab w:val="left" w:leader="none" w:pos="993"/>
              </w:tabs>
              <w:spacing w:after="60" w:before="60" w:lineRule="auto"/>
              <w:ind w:left="0" w:firstLine="0"/>
              <w:jc w:val="both"/>
              <w:rPr>
                <w:sz w:val="24"/>
                <w:szCs w:val="24"/>
              </w:rPr>
            </w:pPr>
            <w:r w:rsidDel="00000000" w:rsidR="00000000" w:rsidRPr="00000000">
              <w:rPr>
                <w:b w:val="1"/>
                <w:sz w:val="24"/>
                <w:szCs w:val="24"/>
                <w:rtl w:val="0"/>
              </w:rPr>
              <w:t xml:space="preserve">Objekta adrese:</w:t>
            </w:r>
            <w:r w:rsidDel="00000000" w:rsidR="00000000" w:rsidRPr="00000000">
              <w:rPr>
                <w:sz w:val="24"/>
                <w:szCs w:val="24"/>
                <w:rtl w:val="0"/>
              </w:rPr>
              <w:t xml:space="preserve"> “Mauriņi”, Allažu pagasts, Rīgas rajons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numPr>
                <w:ilvl w:val="0"/>
                <w:numId w:val="2"/>
              </w:numPr>
              <w:tabs>
                <w:tab w:val="left" w:leader="none" w:pos="252"/>
                <w:tab w:val="left" w:leader="none" w:pos="432"/>
                <w:tab w:val="left" w:leader="none" w:pos="702"/>
                <w:tab w:val="left" w:leader="none" w:pos="993"/>
              </w:tabs>
              <w:spacing w:after="60" w:before="60" w:lineRule="auto"/>
              <w:ind w:left="0" w:firstLine="0"/>
              <w:jc w:val="both"/>
              <w:rPr>
                <w:sz w:val="24"/>
                <w:szCs w:val="24"/>
              </w:rPr>
            </w:pPr>
            <w:r w:rsidDel="00000000" w:rsidR="00000000" w:rsidRPr="00000000">
              <w:rPr>
                <w:b w:val="1"/>
                <w:sz w:val="24"/>
                <w:szCs w:val="24"/>
                <w:rtl w:val="0"/>
              </w:rPr>
              <w:t xml:space="preserve">Novērtēšanu veica: </w:t>
            </w:r>
            <w:r w:rsidDel="00000000" w:rsidR="00000000" w:rsidRPr="00000000">
              <w:rPr>
                <w:sz w:val="24"/>
                <w:szCs w:val="24"/>
                <w:rtl w:val="0"/>
              </w:rPr>
              <w:t xml:space="preserve">22.06.2023 vides veselības analītiķe Aļona Purmale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numPr>
                <w:ilvl w:val="0"/>
                <w:numId w:val="2"/>
              </w:numPr>
              <w:tabs>
                <w:tab w:val="left" w:leader="none" w:pos="252"/>
                <w:tab w:val="left" w:leader="none" w:pos="432"/>
                <w:tab w:val="left" w:leader="none" w:pos="702"/>
                <w:tab w:val="left" w:leader="none" w:pos="993"/>
              </w:tabs>
              <w:spacing w:after="60" w:before="60" w:lineRule="auto"/>
              <w:ind w:left="0" w:firstLine="0"/>
              <w:jc w:val="both"/>
              <w:rPr>
                <w:sz w:val="24"/>
                <w:szCs w:val="24"/>
              </w:rPr>
            </w:pPr>
            <w:r w:rsidDel="00000000" w:rsidR="00000000" w:rsidRPr="00000000">
              <w:rPr>
                <w:b w:val="1"/>
                <w:sz w:val="24"/>
                <w:szCs w:val="24"/>
                <w:rtl w:val="0"/>
              </w:rPr>
              <w:t xml:space="preserve">Novērtēšanā piedalījās:</w:t>
            </w:r>
            <w:r w:rsidDel="00000000" w:rsidR="00000000" w:rsidRPr="00000000">
              <w:rPr>
                <w:sz w:val="24"/>
                <w:szCs w:val="24"/>
                <w:rtl w:val="0"/>
              </w:rPr>
              <w:t xml:space="preserve"> Viesu nama īpašniece Māra Zemdega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numPr>
                <w:ilvl w:val="0"/>
                <w:numId w:val="2"/>
              </w:numPr>
              <w:tabs>
                <w:tab w:val="left" w:leader="none" w:pos="252"/>
                <w:tab w:val="left" w:leader="none" w:pos="432"/>
                <w:tab w:val="left" w:leader="none" w:pos="702"/>
                <w:tab w:val="left" w:leader="none" w:pos="993"/>
              </w:tabs>
              <w:spacing w:after="60" w:before="60" w:lineRule="auto"/>
              <w:ind w:left="0" w:firstLine="0"/>
              <w:jc w:val="both"/>
              <w:rPr>
                <w:sz w:val="24"/>
                <w:szCs w:val="24"/>
              </w:rPr>
            </w:pPr>
            <w:r w:rsidDel="00000000" w:rsidR="00000000" w:rsidRPr="00000000">
              <w:rPr>
                <w:b w:val="1"/>
                <w:sz w:val="24"/>
                <w:szCs w:val="24"/>
                <w:rtl w:val="0"/>
              </w:rPr>
              <w:t xml:space="preserve">Konstatēts:</w:t>
            </w:r>
          </w:p>
          <w:p w:rsidR="00000000" w:rsidDel="00000000" w:rsidP="00000000" w:rsidRDefault="00000000" w:rsidRPr="00000000" w14:paraId="0000000D">
            <w:pPr>
              <w:tabs>
                <w:tab w:val="left" w:leader="none" w:pos="252"/>
                <w:tab w:val="left" w:leader="none" w:pos="432"/>
                <w:tab w:val="left" w:leader="none" w:pos="702"/>
                <w:tab w:val="left" w:leader="none" w:pos="993"/>
              </w:tabs>
              <w:spacing w:after="60" w:before="60" w:lineRule="auto"/>
              <w:jc w:val="both"/>
              <w:rPr>
                <w:sz w:val="24"/>
                <w:szCs w:val="24"/>
              </w:rPr>
            </w:pPr>
            <w:r w:rsidDel="00000000" w:rsidR="00000000" w:rsidRPr="00000000">
              <w:rPr>
                <w:b w:val="1"/>
                <w:sz w:val="24"/>
                <w:szCs w:val="24"/>
                <w:rtl w:val="0"/>
              </w:rPr>
              <w:t xml:space="preserve">6.1. Vispārīgās ziņas par objektu/objekta raksturojums</w:t>
            </w: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Bērnu diennakts nometne “Radīts šim laikam” tiks organizēta viesu namā “Mauriņi” (09.05.2023. līgums par telpu nomu), “Mauriņi”, Allažu pagastā, Rīgas rajonā. </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Nometni paredzēts organizēt laika posmā no 10.07.2023. līdz 14.07.2023.  Nometne paredzēta 50 bērniem vecumā no 6 līdz 11 gadiem.</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Pedagogu skaits nometnē – 10.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Nometnes vajadzībām plānots izmantot 1. stāvā – ēdnīcu, virtuvi, vienu istabu ar tualeti un dušu; 2. stāvā – sešas istabas (katrai istabai ir sava tualete ar dušu).</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Nometnes dalībnieku izmitināšana paredzēta viesu namā “Mauriņi” (sešas viesu nama istabas), kā arī ir nodrošināta telpa īslaicīgai dalībnieku izolācijai infekcijas slimību gadījumos.</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Nometnes telpu higiēniskais stāvoklis ir apmierinošs. Tualetes telpās personīgās higiēnas ievērošanas apstākļi ir nodrošināti. Visas sanitāri tehniskās ierīces ir darba kārtībā. Viesu nams ir nodrošināts ar mazgāšanas un dezinfekcijas līdzekļiem nepieciešamā daudzumā, līdzekļi tiek uzglabāti nometnes dalībniekiem nepieejamā vietā. Uzkopšanas inventārs ir marķēts, pietiekošā daudzumā. Telpu uzkopšana tiek veikta regulāri. </w:t>
            </w:r>
          </w:p>
          <w:p w:rsidR="00000000" w:rsidDel="00000000" w:rsidP="00000000" w:rsidRDefault="00000000" w:rsidRPr="00000000" w14:paraId="00000014">
            <w:pPr>
              <w:ind w:right="6"/>
              <w:jc w:val="both"/>
              <w:rPr>
                <w:b w:val="1"/>
                <w:sz w:val="24"/>
                <w:szCs w:val="24"/>
              </w:rPr>
            </w:pPr>
            <w:r w:rsidDel="00000000" w:rsidR="00000000" w:rsidRPr="00000000">
              <w:rPr>
                <w:b w:val="1"/>
                <w:sz w:val="24"/>
                <w:szCs w:val="24"/>
                <w:rtl w:val="0"/>
              </w:rPr>
              <w:t xml:space="preserve">6.2. Iekštelpu virsmu apdare</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Telpu iekšējai apdarei paredzēti telpu funkcijai un higiēnas prasībām atbilstoši materiāli.</w:t>
            </w:r>
          </w:p>
          <w:p w:rsidR="00000000" w:rsidDel="00000000" w:rsidP="00000000" w:rsidRDefault="00000000" w:rsidRPr="00000000" w14:paraId="00000016">
            <w:pPr>
              <w:ind w:right="6"/>
              <w:jc w:val="both"/>
              <w:rPr>
                <w:b w:val="1"/>
                <w:sz w:val="24"/>
                <w:szCs w:val="24"/>
              </w:rPr>
            </w:pPr>
            <w:r w:rsidDel="00000000" w:rsidR="00000000" w:rsidRPr="00000000">
              <w:rPr>
                <w:b w:val="1"/>
                <w:sz w:val="24"/>
                <w:szCs w:val="24"/>
                <w:rtl w:val="0"/>
              </w:rPr>
              <w:t xml:space="preserve">6.3. Apgaismojums</w:t>
            </w:r>
          </w:p>
          <w:p w:rsidR="00000000" w:rsidDel="00000000" w:rsidP="00000000" w:rsidRDefault="00000000" w:rsidRPr="00000000" w14:paraId="00000017">
            <w:pPr>
              <w:tabs>
                <w:tab w:val="left" w:leader="none" w:pos="243"/>
              </w:tabs>
              <w:ind w:right="6"/>
              <w:jc w:val="both"/>
              <w:rPr>
                <w:i w:val="1"/>
                <w:sz w:val="24"/>
                <w:szCs w:val="24"/>
              </w:rPr>
            </w:pPr>
            <w:r w:rsidDel="00000000" w:rsidR="00000000" w:rsidRPr="00000000">
              <w:rPr>
                <w:sz w:val="24"/>
                <w:szCs w:val="24"/>
                <w:rtl w:val="0"/>
              </w:rPr>
              <w:t xml:space="preserve">Telpu apgaismojums – dabiskais un mākslīgais.</w:t>
            </w:r>
            <w:r w:rsidDel="00000000" w:rsidR="00000000" w:rsidRPr="00000000">
              <w:rPr>
                <w:rtl w:val="0"/>
              </w:rPr>
            </w:r>
          </w:p>
          <w:p w:rsidR="00000000" w:rsidDel="00000000" w:rsidP="00000000" w:rsidRDefault="00000000" w:rsidRPr="00000000" w14:paraId="00000018">
            <w:pPr>
              <w:ind w:right="6"/>
              <w:jc w:val="both"/>
              <w:rPr>
                <w:b w:val="1"/>
                <w:sz w:val="24"/>
                <w:szCs w:val="24"/>
                <w:highlight w:val="yellow"/>
              </w:rPr>
            </w:pPr>
            <w:r w:rsidDel="00000000" w:rsidR="00000000" w:rsidRPr="00000000">
              <w:rPr>
                <w:b w:val="1"/>
                <w:sz w:val="24"/>
                <w:szCs w:val="24"/>
                <w:rtl w:val="0"/>
              </w:rPr>
              <w:t xml:space="preserve">6.4. Siltumapgāde </w:t>
            </w:r>
            <w:r w:rsidDel="00000000" w:rsidR="00000000" w:rsidRPr="00000000">
              <w:rPr>
                <w:rtl w:val="0"/>
              </w:rPr>
            </w:r>
          </w:p>
          <w:p w:rsidR="00000000" w:rsidDel="00000000" w:rsidP="00000000" w:rsidRDefault="00000000" w:rsidRPr="00000000" w14:paraId="00000019">
            <w:pPr>
              <w:ind w:right="6"/>
              <w:jc w:val="both"/>
              <w:rPr>
                <w:sz w:val="24"/>
                <w:szCs w:val="24"/>
              </w:rPr>
            </w:pPr>
            <w:r w:rsidDel="00000000" w:rsidR="00000000" w:rsidRPr="00000000">
              <w:rPr>
                <w:sz w:val="24"/>
                <w:szCs w:val="24"/>
                <w:rtl w:val="0"/>
              </w:rPr>
              <w:t xml:space="preserve">Apkure – vietējā (granulu katls).</w:t>
            </w:r>
          </w:p>
          <w:p w:rsidR="00000000" w:rsidDel="00000000" w:rsidP="00000000" w:rsidRDefault="00000000" w:rsidRPr="00000000" w14:paraId="0000001A">
            <w:pPr>
              <w:ind w:right="6"/>
              <w:jc w:val="both"/>
              <w:rPr>
                <w:b w:val="1"/>
                <w:sz w:val="24"/>
                <w:szCs w:val="24"/>
              </w:rPr>
            </w:pPr>
            <w:r w:rsidDel="00000000" w:rsidR="00000000" w:rsidRPr="00000000">
              <w:rPr>
                <w:b w:val="1"/>
                <w:sz w:val="24"/>
                <w:szCs w:val="24"/>
                <w:rtl w:val="0"/>
              </w:rPr>
              <w:t xml:space="preserve">6.5. Gaisa apmaiņa </w:t>
            </w:r>
          </w:p>
          <w:p w:rsidR="00000000" w:rsidDel="00000000" w:rsidP="00000000" w:rsidRDefault="00000000" w:rsidRPr="00000000" w14:paraId="0000001B">
            <w:pPr>
              <w:ind w:right="6"/>
              <w:jc w:val="both"/>
              <w:rPr>
                <w:sz w:val="24"/>
                <w:szCs w:val="24"/>
              </w:rPr>
            </w:pPr>
            <w:r w:rsidDel="00000000" w:rsidR="00000000" w:rsidRPr="00000000">
              <w:rPr>
                <w:sz w:val="24"/>
                <w:szCs w:val="24"/>
                <w:rtl w:val="0"/>
              </w:rPr>
              <w:t xml:space="preserve">Ventilācija – dabiskā ventilācija caur logiem un durvīm. Tualetes telpās – piespiedu nosūces ventilācija.</w:t>
            </w:r>
          </w:p>
          <w:p w:rsidR="00000000" w:rsidDel="00000000" w:rsidP="00000000" w:rsidRDefault="00000000" w:rsidRPr="00000000" w14:paraId="0000001C">
            <w:pPr>
              <w:ind w:right="6"/>
              <w:jc w:val="both"/>
              <w:rPr>
                <w:b w:val="1"/>
                <w:sz w:val="24"/>
                <w:szCs w:val="24"/>
              </w:rPr>
            </w:pPr>
            <w:r w:rsidDel="00000000" w:rsidR="00000000" w:rsidRPr="00000000">
              <w:rPr>
                <w:b w:val="1"/>
                <w:sz w:val="24"/>
                <w:szCs w:val="24"/>
                <w:rtl w:val="0"/>
              </w:rPr>
              <w:t xml:space="preserve">6.6. Ūdens apgāde</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Ūdensapgāde – vietējā (dziļurbums).</w:t>
            </w:r>
          </w:p>
          <w:p w:rsidR="00000000" w:rsidDel="00000000" w:rsidP="00000000" w:rsidRDefault="00000000" w:rsidRPr="00000000" w14:paraId="0000001E">
            <w:pPr>
              <w:ind w:right="6"/>
              <w:jc w:val="both"/>
              <w:rPr>
                <w:b w:val="1"/>
                <w:sz w:val="24"/>
                <w:szCs w:val="24"/>
              </w:rPr>
            </w:pPr>
            <w:r w:rsidDel="00000000" w:rsidR="00000000" w:rsidRPr="00000000">
              <w:rPr>
                <w:b w:val="1"/>
                <w:sz w:val="24"/>
                <w:szCs w:val="24"/>
                <w:rtl w:val="0"/>
              </w:rPr>
              <w:t xml:space="preserve">6.7. Kanalizācijas sistēma</w:t>
            </w:r>
          </w:p>
          <w:p w:rsidR="00000000" w:rsidDel="00000000" w:rsidP="00000000" w:rsidRDefault="00000000" w:rsidRPr="00000000" w14:paraId="0000001F">
            <w:pPr>
              <w:ind w:right="6"/>
              <w:jc w:val="both"/>
              <w:rPr>
                <w:sz w:val="24"/>
                <w:szCs w:val="24"/>
              </w:rPr>
            </w:pPr>
            <w:r w:rsidDel="00000000" w:rsidR="00000000" w:rsidRPr="00000000">
              <w:rPr>
                <w:sz w:val="24"/>
                <w:szCs w:val="24"/>
                <w:rtl w:val="0"/>
              </w:rPr>
              <w:t xml:space="preserve">Kanalizācija – vietējā (BIO attīrīšanas iekārta).</w:t>
            </w:r>
          </w:p>
          <w:p w:rsidR="00000000" w:rsidDel="00000000" w:rsidP="00000000" w:rsidRDefault="00000000" w:rsidRPr="00000000" w14:paraId="00000020">
            <w:pPr>
              <w:ind w:right="6"/>
              <w:jc w:val="both"/>
              <w:rPr>
                <w:b w:val="1"/>
                <w:sz w:val="24"/>
                <w:szCs w:val="24"/>
              </w:rPr>
            </w:pPr>
            <w:r w:rsidDel="00000000" w:rsidR="00000000" w:rsidRPr="00000000">
              <w:rPr>
                <w:b w:val="1"/>
                <w:sz w:val="24"/>
                <w:szCs w:val="24"/>
                <w:rtl w:val="0"/>
              </w:rPr>
              <w:t xml:space="preserve">6.8. Teritorijas labiekārtošana</w:t>
            </w:r>
          </w:p>
          <w:p w:rsidR="00000000" w:rsidDel="00000000" w:rsidP="00000000" w:rsidRDefault="00000000" w:rsidRPr="00000000" w14:paraId="00000021">
            <w:pPr>
              <w:ind w:right="6"/>
              <w:jc w:val="both"/>
              <w:rPr>
                <w:b w:val="1"/>
                <w:sz w:val="24"/>
                <w:szCs w:val="24"/>
              </w:rPr>
            </w:pPr>
            <w:r w:rsidDel="00000000" w:rsidR="00000000" w:rsidRPr="00000000">
              <w:rPr>
                <w:sz w:val="24"/>
                <w:szCs w:val="24"/>
                <w:rtl w:val="0"/>
              </w:rPr>
              <w:t xml:space="preserve">Ēkas teritorijā ir labiekārtota, apzaļumota, apgaismota.</w:t>
            </w:r>
            <w:r w:rsidDel="00000000" w:rsidR="00000000" w:rsidRPr="00000000">
              <w:rPr>
                <w:b w:val="1"/>
                <w:sz w:val="24"/>
                <w:szCs w:val="24"/>
                <w:rtl w:val="0"/>
              </w:rPr>
              <w:t xml:space="preserve"> </w:t>
            </w:r>
          </w:p>
          <w:p w:rsidR="00000000" w:rsidDel="00000000" w:rsidP="00000000" w:rsidRDefault="00000000" w:rsidRPr="00000000" w14:paraId="00000022">
            <w:pPr>
              <w:ind w:right="6"/>
              <w:jc w:val="both"/>
              <w:rPr>
                <w:b w:val="1"/>
                <w:sz w:val="24"/>
                <w:szCs w:val="24"/>
              </w:rPr>
            </w:pPr>
            <w:r w:rsidDel="00000000" w:rsidR="00000000" w:rsidRPr="00000000">
              <w:rPr>
                <w:b w:val="1"/>
                <w:sz w:val="24"/>
                <w:szCs w:val="24"/>
                <w:rtl w:val="0"/>
              </w:rPr>
              <w:t xml:space="preserve">6.9. Vides pieejamība</w:t>
            </w:r>
          </w:p>
          <w:p w:rsidR="00000000" w:rsidDel="00000000" w:rsidP="00000000" w:rsidRDefault="00000000" w:rsidRPr="00000000" w14:paraId="00000023">
            <w:pPr>
              <w:ind w:right="6"/>
              <w:jc w:val="both"/>
              <w:rPr>
                <w:sz w:val="24"/>
                <w:szCs w:val="24"/>
              </w:rPr>
            </w:pPr>
            <w:r w:rsidDel="00000000" w:rsidR="00000000" w:rsidRPr="00000000">
              <w:rPr>
                <w:sz w:val="24"/>
                <w:szCs w:val="24"/>
                <w:rtl w:val="0"/>
              </w:rPr>
              <w:t xml:space="preserve">Nav paredzēts.</w:t>
            </w:r>
          </w:p>
          <w:p w:rsidR="00000000" w:rsidDel="00000000" w:rsidP="00000000" w:rsidRDefault="00000000" w:rsidRPr="00000000" w14:paraId="00000024">
            <w:pPr>
              <w:ind w:right="6"/>
              <w:jc w:val="both"/>
              <w:rPr>
                <w:b w:val="1"/>
                <w:sz w:val="24"/>
                <w:szCs w:val="24"/>
              </w:rPr>
            </w:pPr>
            <w:r w:rsidDel="00000000" w:rsidR="00000000" w:rsidRPr="00000000">
              <w:rPr>
                <w:b w:val="1"/>
                <w:sz w:val="24"/>
                <w:szCs w:val="24"/>
                <w:rtl w:val="0"/>
              </w:rPr>
              <w:t xml:space="preserve">6.10.Riska faktoru novērtēšana un cita informācija</w:t>
            </w:r>
          </w:p>
          <w:p w:rsidR="00000000" w:rsidDel="00000000" w:rsidP="00000000" w:rsidRDefault="00000000" w:rsidRPr="00000000" w14:paraId="00000025">
            <w:pPr>
              <w:spacing w:after="60" w:lineRule="auto"/>
              <w:jc w:val="both"/>
              <w:rPr>
                <w:sz w:val="24"/>
                <w:szCs w:val="24"/>
              </w:rPr>
            </w:pPr>
            <w:r w:rsidDel="00000000" w:rsidR="00000000" w:rsidRPr="00000000">
              <w:rPr>
                <w:sz w:val="24"/>
                <w:szCs w:val="24"/>
                <w:rtl w:val="0"/>
              </w:rPr>
              <w:t xml:space="preserve">Nav.</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tabs>
                <w:tab w:val="left" w:leader="none" w:pos="993"/>
              </w:tabs>
              <w:spacing w:after="60" w:before="60" w:lineRule="auto"/>
              <w:jc w:val="both"/>
              <w:rPr>
                <w:b w:val="1"/>
                <w:smallCaps w:val="1"/>
                <w:sz w:val="24"/>
                <w:szCs w:val="24"/>
              </w:rPr>
            </w:pPr>
            <w:r w:rsidDel="00000000" w:rsidR="00000000" w:rsidRPr="00000000">
              <w:rPr>
                <w:b w:val="1"/>
                <w:smallCaps w:val="1"/>
                <w:sz w:val="24"/>
                <w:szCs w:val="24"/>
                <w:rtl w:val="0"/>
              </w:rPr>
              <w:t xml:space="preserve">7</w:t>
            </w:r>
            <w:r w:rsidDel="00000000" w:rsidR="00000000" w:rsidRPr="00000000">
              <w:rPr>
                <w:smallCaps w:val="1"/>
                <w:sz w:val="24"/>
                <w:szCs w:val="24"/>
                <w:rtl w:val="0"/>
              </w:rPr>
              <w:t xml:space="preserve">.</w:t>
            </w:r>
            <w:r w:rsidDel="00000000" w:rsidR="00000000" w:rsidRPr="00000000">
              <w:rPr>
                <w:b w:val="1"/>
                <w:smallCaps w:val="1"/>
                <w:sz w:val="24"/>
                <w:szCs w:val="24"/>
                <w:rtl w:val="0"/>
              </w:rPr>
              <w:t xml:space="preserve"> SLĒDZIENS</w:t>
            </w:r>
          </w:p>
          <w:p w:rsidR="00000000" w:rsidDel="00000000" w:rsidP="00000000" w:rsidRDefault="00000000" w:rsidRPr="00000000" w14:paraId="00000027">
            <w:pPr>
              <w:tabs>
                <w:tab w:val="left" w:leader="none" w:pos="987"/>
              </w:tabs>
              <w:spacing w:after="60" w:before="60" w:lineRule="auto"/>
              <w:jc w:val="both"/>
              <w:rPr>
                <w:sz w:val="24"/>
                <w:szCs w:val="24"/>
              </w:rPr>
            </w:pPr>
            <w:r w:rsidDel="00000000" w:rsidR="00000000" w:rsidRPr="00000000">
              <w:rPr>
                <w:sz w:val="24"/>
                <w:szCs w:val="24"/>
                <w:rtl w:val="0"/>
              </w:rPr>
              <w:t xml:space="preserve">Bērnu diennakts nometne “Radīts šim laikam”, “Mauriņi”, Allažu pagastā, Rīgas rajonā atbilst higiēnas prasībām.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3"/>
              </w:numPr>
              <w:tabs>
                <w:tab w:val="left" w:leader="none" w:pos="342"/>
                <w:tab w:val="left" w:leader="none" w:pos="993"/>
              </w:tabs>
              <w:spacing w:after="60" w:before="60" w:lineRule="auto"/>
              <w:ind w:left="2149" w:hanging="2115"/>
              <w:jc w:val="both"/>
              <w:rPr>
                <w:b w:val="1"/>
                <w:sz w:val="24"/>
                <w:szCs w:val="24"/>
              </w:rPr>
            </w:pPr>
            <w:r w:rsidDel="00000000" w:rsidR="00000000" w:rsidRPr="00000000">
              <w:rPr>
                <w:b w:val="1"/>
                <w:sz w:val="24"/>
                <w:szCs w:val="24"/>
                <w:rtl w:val="0"/>
              </w:rPr>
              <w:t xml:space="preserve">Rekomendējamie pasākumi </w:t>
            </w:r>
          </w:p>
          <w:p w:rsidR="00000000" w:rsidDel="00000000" w:rsidP="00000000" w:rsidRDefault="00000000" w:rsidRPr="00000000" w14:paraId="00000029">
            <w:pPr>
              <w:numPr>
                <w:ilvl w:val="0"/>
                <w:numId w:val="1"/>
              </w:numPr>
              <w:ind w:left="720" w:hanging="360"/>
              <w:jc w:val="both"/>
              <w:rPr>
                <w:sz w:val="24"/>
                <w:szCs w:val="24"/>
              </w:rPr>
            </w:pPr>
            <w:r w:rsidDel="00000000" w:rsidR="00000000" w:rsidRPr="00000000">
              <w:rPr>
                <w:sz w:val="24"/>
                <w:szCs w:val="24"/>
                <w:rtl w:val="0"/>
              </w:rPr>
              <w:t xml:space="preserve">nometnes darbības laikā ievērot </w:t>
            </w:r>
            <w:r w:rsidDel="00000000" w:rsidR="00000000" w:rsidRPr="00000000">
              <w:rPr>
                <w:color w:val="212121"/>
                <w:sz w:val="24"/>
                <w:szCs w:val="24"/>
                <w:highlight w:val="white"/>
                <w:rtl w:val="0"/>
              </w:rPr>
              <w:t xml:space="preserve">ar Veselības ministriju saskaņotās „Vadlīnijas piesardzības pasākumiem bērnu nometņu organizētājiem” un regulāri sekot līdzi vadlīniju papildinājumiem un atjauninājumiem</w:t>
            </w:r>
            <w:r w:rsidDel="00000000" w:rsidR="00000000" w:rsidRPr="00000000">
              <w:rPr>
                <w:sz w:val="24"/>
                <w:szCs w:val="24"/>
                <w:rtl w:val="0"/>
              </w:rPr>
              <w:t xml:space="preserve">;</w:t>
            </w:r>
          </w:p>
          <w:p w:rsidR="00000000" w:rsidDel="00000000" w:rsidP="00000000" w:rsidRDefault="00000000" w:rsidRPr="00000000" w14:paraId="0000002A">
            <w:pPr>
              <w:numPr>
                <w:ilvl w:val="0"/>
                <w:numId w:val="1"/>
              </w:numPr>
              <w:ind w:left="714" w:hanging="357"/>
              <w:jc w:val="both"/>
              <w:rPr>
                <w:sz w:val="24"/>
                <w:szCs w:val="24"/>
              </w:rPr>
            </w:pPr>
            <w:r w:rsidDel="00000000" w:rsidR="00000000" w:rsidRPr="00000000">
              <w:rPr>
                <w:sz w:val="24"/>
                <w:szCs w:val="24"/>
                <w:rtl w:val="0"/>
              </w:rPr>
              <w:t xml:space="preserve">nodrošināt Ministru kabineta 28.09.2021. noteikumus Nr. 662 „Epidemioloģiskās drošības pasākumi Covid -19 infekcijas izplatības ierobežošanai”, 01.09.2009. noteikumu Nr. 981 „Bērnu nometņu organizēšanas un darbības kārtība” un pretepidēmiskā režīma ievērošanu, kā arī platību viena nometnes dalībnieka darba vietai nodarbību telpā - 2 m² un bērnu veselībai drošu vidi;</w:t>
            </w:r>
          </w:p>
          <w:p w:rsidR="00000000" w:rsidDel="00000000" w:rsidP="00000000" w:rsidRDefault="00000000" w:rsidRPr="00000000" w14:paraId="0000002B">
            <w:pPr>
              <w:numPr>
                <w:ilvl w:val="0"/>
                <w:numId w:val="1"/>
              </w:numPr>
              <w:spacing w:after="60" w:lineRule="auto"/>
              <w:ind w:left="714" w:hanging="357"/>
              <w:jc w:val="both"/>
              <w:rPr>
                <w:sz w:val="24"/>
                <w:szCs w:val="24"/>
              </w:rPr>
            </w:pPr>
            <w:r w:rsidDel="00000000" w:rsidR="00000000" w:rsidRPr="00000000">
              <w:rPr>
                <w:sz w:val="24"/>
                <w:szCs w:val="24"/>
                <w:rtl w:val="0"/>
              </w:rPr>
              <w:t xml:space="preserve">pirms nometnes darbības uzsākšanas personālam ir jāsaņem ārsta atļauja darbam, saskaņā ar Ministru kabineta 24.07.2018. noteikumu Nr. 447 „Noteikumi par darbiem, kas saistīti ar iespējamu risku citu cilvēku veselībai, un obligāto veselības pārbaužu veikšanas kārtība” prasībām.</w:t>
            </w:r>
          </w:p>
        </w:tc>
      </w:tr>
    </w:tbl>
    <w:p w:rsidR="00000000" w:rsidDel="00000000" w:rsidP="00000000" w:rsidRDefault="00000000" w:rsidRPr="00000000" w14:paraId="0000002C">
      <w:pPr>
        <w:rPr>
          <w:sz w:val="16"/>
          <w:szCs w:val="16"/>
        </w:rPr>
      </w:pPr>
      <w:r w:rsidDel="00000000" w:rsidR="00000000" w:rsidRPr="00000000">
        <w:rPr>
          <w:rtl w:val="0"/>
        </w:rPr>
      </w:r>
    </w:p>
    <w:tbl>
      <w:tblPr>
        <w:tblStyle w:val="Table4"/>
        <w:tblW w:w="10773.0" w:type="dxa"/>
        <w:jc w:val="left"/>
        <w:tblInd w:w="108.0" w:type="dxa"/>
        <w:tblLayout w:type="fixed"/>
        <w:tblLook w:val="0400"/>
      </w:tblPr>
      <w:tblGrid>
        <w:gridCol w:w="9106"/>
        <w:gridCol w:w="1667"/>
        <w:tblGridChange w:id="0">
          <w:tblGrid>
            <w:gridCol w:w="9106"/>
            <w:gridCol w:w="1667"/>
          </w:tblGrid>
        </w:tblGridChange>
      </w:tblGrid>
      <w:tr>
        <w:trPr>
          <w:cantSplit w:val="0"/>
          <w:tblHeader w:val="0"/>
        </w:trPr>
        <w:tc>
          <w:tcPr>
            <w:vAlign w:val="bottom"/>
          </w:tcPr>
          <w:p w:rsidR="00000000" w:rsidDel="00000000" w:rsidP="00000000" w:rsidRDefault="00000000" w:rsidRPr="00000000" w14:paraId="0000002D">
            <w:pPr>
              <w:ind w:left="142" w:hanging="250"/>
              <w:rPr>
                <w:sz w:val="24"/>
                <w:szCs w:val="24"/>
              </w:rPr>
            </w:pPr>
            <w:r w:rsidDel="00000000" w:rsidR="00000000" w:rsidRPr="00000000">
              <w:rPr>
                <w:sz w:val="24"/>
                <w:szCs w:val="24"/>
                <w:rtl w:val="0"/>
              </w:rPr>
              <w:t xml:space="preserve">Sabiedrības veselības departamenta</w:t>
            </w:r>
          </w:p>
          <w:p w:rsidR="00000000" w:rsidDel="00000000" w:rsidP="00000000" w:rsidRDefault="00000000" w:rsidRPr="00000000" w14:paraId="0000002E">
            <w:pPr>
              <w:ind w:right="-1804" w:hanging="108"/>
              <w:rPr>
                <w:b w:val="1"/>
                <w:sz w:val="24"/>
                <w:szCs w:val="24"/>
              </w:rPr>
            </w:pPr>
            <w:r w:rsidDel="00000000" w:rsidR="00000000" w:rsidRPr="00000000">
              <w:rPr>
                <w:sz w:val="24"/>
                <w:szCs w:val="24"/>
                <w:rtl w:val="0"/>
              </w:rPr>
              <w:t xml:space="preserve">Higiēnas novērtēšanas nodaļas vides veselības analītiķe                                      Aļona Purmale</w:t>
            </w:r>
            <w:r w:rsidDel="00000000" w:rsidR="00000000" w:rsidRPr="00000000">
              <w:rPr>
                <w:rtl w:val="0"/>
              </w:rPr>
            </w:r>
          </w:p>
        </w:tc>
        <w:tc>
          <w:tcPr/>
          <w:p w:rsidR="00000000" w:rsidDel="00000000" w:rsidP="00000000" w:rsidRDefault="00000000" w:rsidRPr="00000000" w14:paraId="0000002F">
            <w:pPr>
              <w:ind w:firstLine="2018"/>
              <w:jc w:val="right"/>
              <w:rPr>
                <w:sz w:val="24"/>
                <w:szCs w:val="24"/>
              </w:rPr>
            </w:pPr>
            <w:r w:rsidDel="00000000" w:rsidR="00000000" w:rsidRPr="00000000">
              <w:rPr>
                <w:rtl w:val="0"/>
              </w:rPr>
            </w:r>
          </w:p>
          <w:p w:rsidR="00000000" w:rsidDel="00000000" w:rsidP="00000000" w:rsidRDefault="00000000" w:rsidRPr="00000000" w14:paraId="00000030">
            <w:pPr>
              <w:ind w:right="-138" w:hanging="250"/>
              <w:jc w:val="right"/>
              <w:rPr>
                <w:sz w:val="24"/>
                <w:szCs w:val="24"/>
              </w:rPr>
            </w:pPr>
            <w:r w:rsidDel="00000000" w:rsidR="00000000" w:rsidRPr="00000000">
              <w:rPr>
                <w:rtl w:val="0"/>
              </w:rPr>
            </w:r>
          </w:p>
        </w:tc>
      </w:tr>
    </w:tbl>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rtl w:val="0"/>
        </w:rPr>
      </w:r>
    </w:p>
    <w:tbl>
      <w:tblPr>
        <w:tblStyle w:val="Table5"/>
        <w:tblW w:w="9356.0" w:type="dxa"/>
        <w:jc w:val="left"/>
        <w:tblInd w:w="108.0" w:type="dxa"/>
        <w:tblLayout w:type="fixed"/>
        <w:tblLook w:val="0400"/>
      </w:tblPr>
      <w:tblGrid>
        <w:gridCol w:w="9356"/>
        <w:tblGridChange w:id="0">
          <w:tblGrid>
            <w:gridCol w:w="9356"/>
          </w:tblGrid>
        </w:tblGridChange>
      </w:tblGrid>
      <w:tr>
        <w:trPr>
          <w:cantSplit w:val="0"/>
          <w:tblHeader w:val="0"/>
        </w:trPr>
        <w:tc>
          <w:tcPr>
            <w:vAlign w:val="bottom"/>
          </w:tcPr>
          <w:p w:rsidR="00000000" w:rsidDel="00000000" w:rsidP="00000000" w:rsidRDefault="00000000" w:rsidRPr="00000000" w14:paraId="00000035">
            <w:pPr>
              <w:ind w:hanging="108"/>
              <w:rPr>
                <w:sz w:val="20"/>
                <w:szCs w:val="20"/>
              </w:rPr>
            </w:pPr>
            <w:r w:rsidDel="00000000" w:rsidR="00000000" w:rsidRPr="00000000">
              <w:rPr>
                <w:sz w:val="20"/>
                <w:szCs w:val="20"/>
                <w:rtl w:val="0"/>
              </w:rPr>
              <w:t xml:space="preserve">Aļona Purmale,</w:t>
            </w:r>
            <w:r w:rsidDel="00000000" w:rsidR="00000000" w:rsidRPr="00000000">
              <w:rPr>
                <w:b w:val="1"/>
                <w:sz w:val="20"/>
                <w:szCs w:val="20"/>
                <w:rtl w:val="0"/>
              </w:rPr>
              <w:t xml:space="preserve"> </w:t>
            </w:r>
            <w:r w:rsidDel="00000000" w:rsidR="00000000" w:rsidRPr="00000000">
              <w:rPr>
                <w:sz w:val="20"/>
                <w:szCs w:val="20"/>
                <w:rtl w:val="0"/>
              </w:rPr>
              <w:t xml:space="preserve">tālr.</w:t>
            </w:r>
            <w:r w:rsidDel="00000000" w:rsidR="00000000" w:rsidRPr="00000000">
              <w:rPr>
                <w:rtl w:val="0"/>
              </w:rPr>
              <w:t xml:space="preserve"> </w:t>
            </w:r>
            <w:r w:rsidDel="00000000" w:rsidR="00000000" w:rsidRPr="00000000">
              <w:rPr>
                <w:sz w:val="20"/>
                <w:szCs w:val="20"/>
                <w:rtl w:val="0"/>
              </w:rPr>
              <w:t xml:space="preserve">67819676</w:t>
            </w:r>
          </w:p>
          <w:p w:rsidR="00000000" w:rsidDel="00000000" w:rsidP="00000000" w:rsidRDefault="00000000" w:rsidRPr="00000000" w14:paraId="00000036">
            <w:pPr>
              <w:ind w:hanging="108"/>
              <w:rPr>
                <w:sz w:val="24"/>
                <w:szCs w:val="24"/>
              </w:rPr>
            </w:pPr>
            <w:r w:rsidDel="00000000" w:rsidR="00000000" w:rsidRPr="00000000">
              <w:rPr>
                <w:sz w:val="20"/>
                <w:szCs w:val="20"/>
                <w:rtl w:val="0"/>
              </w:rPr>
              <w:t xml:space="preserve">alona.purmale@vi.gov.lv</w:t>
            </w:r>
            <w:r w:rsidDel="00000000" w:rsidR="00000000" w:rsidRPr="00000000">
              <w:rPr>
                <w:rtl w:val="0"/>
              </w:rPr>
            </w:r>
          </w:p>
        </w:tc>
      </w:tr>
    </w:tbl>
    <w:p w:rsidR="00000000" w:rsidDel="00000000" w:rsidP="00000000" w:rsidRDefault="00000000" w:rsidRPr="00000000" w14:paraId="00000037">
      <w:pPr>
        <w:tabs>
          <w:tab w:val="left" w:leader="none" w:pos="3825"/>
        </w:tabs>
        <w:rPr>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pgSz w:h="16840" w:w="11907" w:orient="portrait"/>
      <w:pgMar w:bottom="1134" w:top="1134" w:left="1701" w:right="851" w:header="56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DOKUMENTS PARAKSTĪTS AR DROŠU ELEKTRONISKO PARAKSTU, KAS SATUR LAIKA ZĪMOGU</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F113-v4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DOKUMENTS PARAKSTĪTS AR DROŠU ELEKTRONISKO PARAKSTU, KAS SATUR LAIKA ZĪMOGU</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F113-v4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9390.0" w:type="dxa"/>
      <w:jc w:val="left"/>
      <w:tblInd w:w="108.0" w:type="dxa"/>
      <w:tblLayout w:type="fixed"/>
      <w:tblLook w:val="0400"/>
    </w:tblPr>
    <w:tblGrid>
      <w:gridCol w:w="6555"/>
      <w:gridCol w:w="2835"/>
      <w:tblGridChange w:id="0">
        <w:tblGrid>
          <w:gridCol w:w="6555"/>
          <w:gridCol w:w="2835"/>
        </w:tblGrid>
      </w:tblGridChange>
    </w:tblGrid>
    <w:tr>
      <w:trPr>
        <w:cantSplit w:val="0"/>
        <w:tblHeader w:val="0"/>
      </w:trPr>
      <w:tc>
        <w:tcPr>
          <w:vAlign w:val="center"/>
        </w:tcPr>
        <w:p w:rsidR="00000000" w:rsidDel="00000000" w:rsidP="00000000" w:rsidRDefault="00000000" w:rsidRPr="00000000" w14:paraId="0000003D">
          <w:pPr>
            <w:pStyle w:val="Heading2"/>
            <w:rPr>
              <w:b w:val="0"/>
              <w:sz w:val="24"/>
              <w:szCs w:val="24"/>
            </w:rPr>
          </w:pPr>
          <w:r w:rsidDel="00000000" w:rsidR="00000000" w:rsidRPr="00000000">
            <w:rPr>
              <w:rtl w:val="0"/>
            </w:rPr>
          </w:r>
        </w:p>
      </w:tc>
      <w:tc>
        <w:tcPr>
          <w:vAlign w:val="center"/>
        </w:tcPr>
        <w:p w:rsidR="00000000" w:rsidDel="00000000" w:rsidP="00000000" w:rsidRDefault="00000000" w:rsidRPr="00000000" w14:paraId="0000003E">
          <w:pPr>
            <w:pStyle w:val="Heading2"/>
            <w:jc w:val="left"/>
            <w:rPr>
              <w:b w:val="0"/>
              <w:sz w:val="24"/>
              <w:szCs w:val="24"/>
            </w:rPr>
          </w:pPr>
          <w:r w:rsidDel="00000000" w:rsidR="00000000" w:rsidRPr="00000000">
            <w:rPr>
              <w:b w:val="0"/>
              <w:sz w:val="24"/>
              <w:szCs w:val="24"/>
              <w:rtl w:val="0"/>
            </w:rPr>
            <w:t xml:space="preserve">Pielikums</w:t>
          </w:r>
        </w:p>
        <w:p w:rsidR="00000000" w:rsidDel="00000000" w:rsidP="00000000" w:rsidRDefault="00000000" w:rsidRPr="00000000" w14:paraId="0000003F">
          <w:pPr>
            <w:ind w:left="-222" w:firstLine="222"/>
            <w:rPr>
              <w:sz w:val="24"/>
              <w:szCs w:val="24"/>
            </w:rPr>
          </w:pPr>
          <w:r w:rsidDel="00000000" w:rsidR="00000000" w:rsidRPr="00000000">
            <w:rPr>
              <w:sz w:val="24"/>
              <w:szCs w:val="24"/>
              <w:rtl w:val="0"/>
            </w:rPr>
            <w:t xml:space="preserve">Veselības inspekcijas</w:t>
          </w:r>
        </w:p>
        <w:p w:rsidR="00000000" w:rsidDel="00000000" w:rsidP="00000000" w:rsidRDefault="00000000" w:rsidRPr="00000000" w14:paraId="00000040">
          <w:pPr>
            <w:rPr>
              <w:sz w:val="24"/>
              <w:szCs w:val="24"/>
              <w:u w:val="single"/>
            </w:rPr>
          </w:pPr>
          <w:r w:rsidDel="00000000" w:rsidR="00000000" w:rsidRPr="00000000">
            <w:rPr>
              <w:sz w:val="22"/>
              <w:szCs w:val="22"/>
              <w:u w:val="single"/>
              <w:rtl w:val="0"/>
            </w:rPr>
            <w:t xml:space="preserve">22.06.2023</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atzinumam</w:t>
          </w:r>
        </w:p>
        <w:p w:rsidR="00000000" w:rsidDel="00000000" w:rsidP="00000000" w:rsidRDefault="00000000" w:rsidRPr="00000000" w14:paraId="00000042">
          <w:pPr>
            <w:rPr>
              <w:sz w:val="24"/>
              <w:szCs w:val="24"/>
            </w:rPr>
          </w:pPr>
          <w:r w:rsidDel="00000000" w:rsidR="00000000" w:rsidRPr="00000000">
            <w:rPr>
              <w:sz w:val="24"/>
              <w:szCs w:val="24"/>
              <w:rtl w:val="0"/>
            </w:rPr>
            <w:t xml:space="preserve">Nr</w:t>
          </w:r>
          <w:r w:rsidDel="00000000" w:rsidR="00000000" w:rsidRPr="00000000">
            <w:rPr>
              <w:sz w:val="22"/>
              <w:szCs w:val="22"/>
              <w:u w:val="single"/>
              <w:rtl w:val="0"/>
            </w:rPr>
            <w:t xml:space="preserve">.2.4.5.-8/604</w:t>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77570" cy="862965"/>
          <wp:effectExtent b="0" l="0" r="0" t="0"/>
          <wp:docPr id="1" name="image1.png"/>
          <a:graphic>
            <a:graphicData uri="http://schemas.openxmlformats.org/drawingml/2006/picture">
              <pic:pic>
                <pic:nvPicPr>
                  <pic:cNvPr id="0" name="image1.png"/>
                  <pic:cNvPicPr preferRelativeResize="0"/>
                </pic:nvPicPr>
                <pic:blipFill>
                  <a:blip r:embed="rId1"/>
                  <a:srcRect b="29749" l="43640" r="43327" t="0"/>
                  <a:stretch>
                    <a:fillRect/>
                  </a:stretch>
                </pic:blipFill>
                <pic:spPr>
                  <a:xfrm>
                    <a:off x="0" y="0"/>
                    <a:ext cx="877570" cy="86296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662555" cy="321945"/>
          <wp:effectExtent b="0" l="0" r="0" t="0"/>
          <wp:docPr id="2" name="image1.png"/>
          <a:graphic>
            <a:graphicData uri="http://schemas.openxmlformats.org/drawingml/2006/picture">
              <pic:pic>
                <pic:nvPicPr>
                  <pic:cNvPr id="0" name="image1.png"/>
                  <pic:cNvPicPr preferRelativeResize="0"/>
                </pic:nvPicPr>
                <pic:blipFill>
                  <a:blip r:embed="rId1"/>
                  <a:srcRect b="6571" l="38916" r="39270" t="79053"/>
                  <a:stretch>
                    <a:fillRect/>
                  </a:stretch>
                </pic:blipFill>
                <pic:spPr>
                  <a:xfrm>
                    <a:off x="0" y="0"/>
                    <a:ext cx="2662555" cy="32194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Klijānu iela 7, Rīga, LV-1012, tālrunis: 67081600, e-pasts: </w:t>
    </w:r>
    <w:hyperlink r:id="rId2">
      <w:r w:rsidDel="00000000" w:rsidR="00000000" w:rsidRPr="00000000">
        <w:rPr>
          <w:color w:val="000000"/>
          <w:sz w:val="20"/>
          <w:szCs w:val="20"/>
          <w:u w:val="none"/>
          <w:rtl w:val="0"/>
        </w:rPr>
        <w:t xml:space="preserve">vi@vi.gov.lv</w:t>
      </w:r>
    </w:hyperlink>
    <w:r w:rsidDel="00000000" w:rsidR="00000000" w:rsidRPr="00000000">
      <w:rPr>
        <w:color w:val="000000"/>
        <w:sz w:val="20"/>
        <w:szCs w:val="20"/>
        <w:rtl w:val="0"/>
      </w:rPr>
      <w:t xml:space="preserve">, </w:t>
    </w:r>
    <w:hyperlink r:id="rId3">
      <w:r w:rsidDel="00000000" w:rsidR="00000000" w:rsidRPr="00000000">
        <w:rPr>
          <w:color w:val="000000"/>
          <w:sz w:val="20"/>
          <w:szCs w:val="20"/>
          <w:u w:val="none"/>
          <w:rtl w:val="0"/>
        </w:rPr>
        <w:t xml:space="preserve">www.vi.gov.lv</w:t>
      </w:r>
    </w:hyperlink>
    <w:r w:rsidDel="00000000" w:rsidR="00000000" w:rsidRPr="00000000">
      <w:rPr>
        <w:rtl w:val="0"/>
      </w:rPr>
    </w:r>
  </w:p>
  <w:p w:rsidR="00000000" w:rsidDel="00000000" w:rsidP="00000000" w:rsidRDefault="00000000" w:rsidRPr="00000000" w14:paraId="00000046">
    <w:pPr>
      <w:jc w:val="cente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2149" w:hanging="360"/>
      </w:pPr>
      <w:rPr>
        <w:b w:val="1"/>
      </w:rPr>
    </w:lvl>
    <w:lvl w:ilvl="1">
      <w:start w:val="1"/>
      <w:numFmt w:val="lowerLetter"/>
      <w:lvlText w:val="%2."/>
      <w:lvlJc w:val="left"/>
      <w:pPr>
        <w:ind w:left="2869" w:hanging="360"/>
      </w:pPr>
      <w:rPr/>
    </w:lvl>
    <w:lvl w:ilvl="2">
      <w:start w:val="1"/>
      <w:numFmt w:val="lowerRoman"/>
      <w:lvlText w:val="%3."/>
      <w:lvlJc w:val="right"/>
      <w:pPr>
        <w:ind w:left="3589" w:hanging="180"/>
      </w:pPr>
      <w:rPr/>
    </w:lvl>
    <w:lvl w:ilvl="3">
      <w:start w:val="1"/>
      <w:numFmt w:val="decimal"/>
      <w:lvlText w:val="%4."/>
      <w:lvlJc w:val="left"/>
      <w:pPr>
        <w:ind w:left="4309" w:hanging="360"/>
      </w:pPr>
      <w:rPr/>
    </w:lvl>
    <w:lvl w:ilvl="4">
      <w:start w:val="1"/>
      <w:numFmt w:val="lowerLetter"/>
      <w:lvlText w:val="%5."/>
      <w:lvlJc w:val="left"/>
      <w:pPr>
        <w:ind w:left="5029" w:hanging="360"/>
      </w:pPr>
      <w:rPr/>
    </w:lvl>
    <w:lvl w:ilvl="5">
      <w:start w:val="1"/>
      <w:numFmt w:val="lowerRoman"/>
      <w:lvlText w:val="%6."/>
      <w:lvlJc w:val="right"/>
      <w:pPr>
        <w:ind w:left="5749" w:hanging="180"/>
      </w:pPr>
      <w:rPr/>
    </w:lvl>
    <w:lvl w:ilvl="6">
      <w:start w:val="1"/>
      <w:numFmt w:val="decimal"/>
      <w:lvlText w:val="%7."/>
      <w:lvlJc w:val="left"/>
      <w:pPr>
        <w:ind w:left="6469" w:hanging="360"/>
      </w:pPr>
      <w:rPr/>
    </w:lvl>
    <w:lvl w:ilvl="7">
      <w:start w:val="1"/>
      <w:numFmt w:val="lowerLetter"/>
      <w:lvlText w:val="%8."/>
      <w:lvlJc w:val="left"/>
      <w:pPr>
        <w:ind w:left="7189" w:hanging="360"/>
      </w:pPr>
      <w:rPr/>
    </w:lvl>
    <w:lvl w:ilvl="8">
      <w:start w:val="1"/>
      <w:numFmt w:val="lowerRoman"/>
      <w:lvlText w:val="%9."/>
      <w:lvlJc w:val="right"/>
      <w:pPr>
        <w:ind w:left="7909" w:hanging="180"/>
      </w:pPr>
      <w:rPr/>
    </w:lvl>
  </w:abstractNum>
  <w:abstractNum w:abstractNumId="3">
    <w:lvl w:ilvl="0">
      <w:start w:val="8"/>
      <w:numFmt w:val="decimal"/>
      <w:lvlText w:val="%1."/>
      <w:lvlJc w:val="left"/>
      <w:pPr>
        <w:ind w:left="214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52"/>
      <w:szCs w:val="52"/>
    </w:rPr>
  </w:style>
  <w:style w:type="paragraph" w:styleId="Heading2">
    <w:name w:val="heading 2"/>
    <w:basedOn w:val="Normal"/>
    <w:next w:val="Normal"/>
    <w:pPr>
      <w:keepNext w:val="1"/>
      <w:jc w:val="center"/>
    </w:pPr>
    <w:rPr>
      <w:b w:val="1"/>
      <w:sz w:val="44"/>
      <w:szCs w:val="44"/>
    </w:rPr>
  </w:style>
  <w:style w:type="paragraph" w:styleId="Heading3">
    <w:name w:val="heading 3"/>
    <w:basedOn w:val="Normal"/>
    <w:next w:val="Normal"/>
    <w:pPr>
      <w:keepNext w:val="1"/>
    </w:pPr>
    <w:rPr/>
  </w:style>
  <w:style w:type="paragraph" w:styleId="Heading4">
    <w:name w:val="heading 4"/>
    <w:basedOn w:val="Normal"/>
    <w:next w:val="Normal"/>
    <w:pPr>
      <w:keepNext w:val="1"/>
    </w:pPr>
    <w:rPr>
      <w:b w:val="1"/>
    </w:rPr>
  </w:style>
  <w:style w:type="paragraph" w:styleId="Heading5">
    <w:name w:val="heading 5"/>
    <w:basedOn w:val="Normal"/>
    <w:next w:val="Normal"/>
    <w:pPr>
      <w:keepNext w:val="1"/>
      <w:jc w:val="center"/>
    </w:pPr>
    <w:rPr>
      <w:sz w:val="24"/>
      <w:szCs w:val="24"/>
    </w:rPr>
  </w:style>
  <w:style w:type="paragraph" w:styleId="Heading6">
    <w:name w:val="heading 6"/>
    <w:basedOn w:val="Normal"/>
    <w:next w:val="Normal"/>
    <w:pPr>
      <w:keepNext w:val="1"/>
      <w:jc w:val="center"/>
    </w:pPr>
    <w:rPr>
      <w:b w:val="1"/>
      <w:sz w:val="32"/>
      <w:szCs w:val="3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vi@vi.gov.lv" TargetMode="External"/><Relationship Id="rId3" Type="http://schemas.openxmlformats.org/officeDocument/2006/relationships/hyperlink" Target="http://www.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