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90" w:type="dxa"/>
        <w:tblInd w:w="108" w:type="dxa"/>
        <w:tblLayout w:type="fixed"/>
        <w:tblLook w:val="04A0"/>
      </w:tblPr>
      <w:tblGrid>
        <w:gridCol w:w="9390"/>
      </w:tblGrid>
      <w:tr w14:paraId="5A8134E8" w14:textId="77777777" w:rsidTr="00D44255">
        <w:tblPrEx>
          <w:tblW w:w="9390" w:type="dxa"/>
          <w:tblInd w:w="108" w:type="dxa"/>
          <w:tblLayout w:type="fixed"/>
          <w:tblLook w:val="04A0"/>
        </w:tblPrEx>
        <w:tc>
          <w:tcPr>
            <w:tcW w:w="9390" w:type="dxa"/>
          </w:tcPr>
          <w:p w:rsidR="00BC67F6" w:rsidRPr="00106D19" w:rsidP="00106D19" w14:paraId="2BCFB5E1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4AD5DA60" w14:textId="77777777" w:rsidTr="00D44255">
        <w:tblPrEx>
          <w:tblW w:w="9390" w:type="dxa"/>
          <w:tblInd w:w="108" w:type="dxa"/>
          <w:tblLayout w:type="fixed"/>
          <w:tblLook w:val="04A0"/>
        </w:tblPrEx>
        <w:tc>
          <w:tcPr>
            <w:tcW w:w="9390" w:type="dxa"/>
          </w:tcPr>
          <w:p w:rsidR="00BC67F6" w:rsidRPr="008A3DA7" w:rsidP="001F5AE3" w14:paraId="29D77CA7" w14:textId="76D6FC08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BC67F6" w:rsidRPr="008A3DA7" w:rsidP="00BC67F6" w14:paraId="09276833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56229912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47D51F67" w14:textId="2D8FEF0B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26.05.2023</w:t>
            </w:r>
          </w:p>
        </w:tc>
      </w:tr>
    </w:tbl>
    <w:p w:rsidR="00BC67F6" w:rsidRPr="008A3DA7" w:rsidP="00BC67F6" w14:paraId="08571B8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68CD1B8F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641605" w14:paraId="10C82200" w14:textId="062F3999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Objekta </w:t>
            </w:r>
            <w:r w:rsidRPr="00246554" w:rsidR="00C752CC">
              <w:rPr>
                <w:b/>
                <w:sz w:val="24"/>
                <w:lang w:val="lv-LV"/>
              </w:rPr>
              <w:t>nosaukums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26E48" w:rsidR="00641605">
              <w:rPr>
                <w:bCs/>
                <w:sz w:val="24"/>
                <w:lang w:val="lv-LV"/>
              </w:rPr>
              <w:t>Bērnu dienas nometne “Peldam droši Siguldā”</w:t>
            </w:r>
          </w:p>
        </w:tc>
      </w:tr>
      <w:tr w14:paraId="6D82F71B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641605" w14:paraId="1FA73AAE" w14:textId="32486D4A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641605">
              <w:rPr>
                <w:sz w:val="24"/>
                <w:lang w:val="lv-LV"/>
              </w:rPr>
              <w:t>Telpu lietotājs – Biedrība “</w:t>
            </w:r>
            <w:r w:rsidRPr="00426E48" w:rsidR="00641605">
              <w:rPr>
                <w:sz w:val="24"/>
                <w:lang w:val="lv-LV"/>
              </w:rPr>
              <w:t>Peldēt droši</w:t>
            </w:r>
            <w:r w:rsidR="00641605">
              <w:rPr>
                <w:sz w:val="24"/>
                <w:lang w:val="lv-LV"/>
              </w:rPr>
              <w:t xml:space="preserve">”, </w:t>
            </w:r>
            <w:r w:rsidRPr="00426E48" w:rsidR="00641605">
              <w:rPr>
                <w:sz w:val="24"/>
                <w:lang w:val="lv-LV"/>
              </w:rPr>
              <w:t>40008280364</w:t>
            </w:r>
          </w:p>
        </w:tc>
      </w:tr>
      <w:tr w14:paraId="6A868EAB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641605" w14:paraId="544EB51A" w14:textId="4056F9F8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26E48" w:rsidR="00641605">
              <w:rPr>
                <w:sz w:val="24"/>
                <w:lang w:val="lv-LV"/>
              </w:rPr>
              <w:t>Ata Kronvalda iela 7a, Sigulda</w:t>
            </w:r>
            <w:r w:rsidR="00641605">
              <w:rPr>
                <w:sz w:val="24"/>
                <w:lang w:val="lv-LV"/>
              </w:rPr>
              <w:t>, Siguldas novads</w:t>
            </w:r>
          </w:p>
        </w:tc>
      </w:tr>
      <w:tr w14:paraId="1E6B9633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4" w:rsidRPr="008A3DA7" w:rsidP="00214688" w14:paraId="471C295C" w14:textId="1C89B30F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641605" w:rsidR="00641605">
              <w:rPr>
                <w:sz w:val="24"/>
                <w:lang w:val="lv-LV"/>
              </w:rPr>
              <w:t>25.05.2023. vides veselības analītiķe Jeļena Gorjačeva</w:t>
            </w:r>
          </w:p>
        </w:tc>
      </w:tr>
      <w:tr w14:paraId="3401F025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19" w:rsidRPr="008A3DA7" w:rsidP="00214688" w14:paraId="206DEBF6" w14:textId="7C128A29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Novērtēšanā piedalījās: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A16DCB">
              <w:rPr>
                <w:sz w:val="24"/>
                <w:lang w:val="lv-LV"/>
              </w:rPr>
              <w:t xml:space="preserve">Siguldas sporta centra pārstāvis Guntis </w:t>
            </w:r>
            <w:r w:rsidR="00214688">
              <w:rPr>
                <w:sz w:val="24"/>
                <w:lang w:val="lv-LV"/>
              </w:rPr>
              <w:t>Ervalds</w:t>
            </w:r>
          </w:p>
        </w:tc>
      </w:tr>
      <w:tr w14:paraId="647BA078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39" w:rsidRPr="00E23BBF" w:rsidP="00D84C4B" w14:paraId="7CADFD07" w14:textId="4FFFBC00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Konstatēts</w:t>
            </w:r>
            <w:r w:rsidR="00641605">
              <w:rPr>
                <w:b/>
                <w:sz w:val="24"/>
                <w:lang w:val="lv-LV"/>
              </w:rPr>
              <w:t>:</w:t>
            </w:r>
          </w:p>
          <w:p w:rsidR="00246554" w:rsidRPr="00246554" w:rsidP="00D437BF" w14:paraId="39D0EBA1" w14:textId="77777777">
            <w:pPr>
              <w:overflowPunct/>
              <w:autoSpaceDE/>
              <w:adjustRightInd/>
              <w:ind w:right="6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>r objektu/ objekta raksturojums</w:t>
            </w:r>
          </w:p>
          <w:p w:rsidR="00F807E4" w:rsidP="00F807E4" w14:paraId="10549DC0" w14:textId="77777777">
            <w:pPr>
              <w:overflowPunct/>
              <w:autoSpaceDE/>
              <w:autoSpaceDN/>
              <w:adjustRightInd/>
              <w:ind w:right="6" w:firstLine="202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Biedrība “Peldēt droši” organizē bērnu dienas nometnes “Siguldas Sporta centra” telpās, </w:t>
            </w:r>
            <w:r w:rsidRPr="00426E48">
              <w:rPr>
                <w:sz w:val="24"/>
                <w:lang w:val="lv-LV"/>
              </w:rPr>
              <w:t>Ata Kronvalda iel</w:t>
            </w:r>
            <w:r>
              <w:rPr>
                <w:sz w:val="24"/>
                <w:lang w:val="lv-LV"/>
              </w:rPr>
              <w:t>ā</w:t>
            </w:r>
            <w:r w:rsidRPr="00426E48">
              <w:rPr>
                <w:sz w:val="24"/>
                <w:lang w:val="lv-LV"/>
              </w:rPr>
              <w:t xml:space="preserve"> 7a, Siguld</w:t>
            </w:r>
            <w:r>
              <w:rPr>
                <w:sz w:val="24"/>
                <w:lang w:val="lv-LV"/>
              </w:rPr>
              <w:t>ā, Siguldas novadā</w:t>
            </w:r>
            <w:r>
              <w:rPr>
                <w:sz w:val="24"/>
                <w:lang w:val="lv-LV"/>
              </w:rPr>
              <w:t xml:space="preserve"> (ir noslēgts telpu nomas līgums)</w:t>
            </w:r>
            <w:r>
              <w:rPr>
                <w:sz w:val="24"/>
                <w:lang w:val="lv-LV"/>
              </w:rPr>
              <w:t xml:space="preserve">. Kopumā plānots rīkot trīs nometnes laika posmā no 12.06.2023. līdz 16.06.2023., no 17.07.2023. līdz 21.07.2023. un no 07.08.2023. līdz 11.08.2023. </w:t>
            </w:r>
            <w:r w:rsidR="00B02BBD">
              <w:rPr>
                <w:sz w:val="24"/>
                <w:lang w:val="lv-LV"/>
              </w:rPr>
              <w:t>Maksimālais dalībnieku skaits 20 bērni vecumā no 8 līdz 12 gadiem.</w:t>
            </w:r>
            <w:r>
              <w:rPr>
                <w:sz w:val="24"/>
                <w:lang w:val="lv-LV"/>
              </w:rPr>
              <w:t xml:space="preserve"> </w:t>
            </w:r>
          </w:p>
          <w:p w:rsidR="00B02BBD" w:rsidRPr="00B02BBD" w:rsidP="00F807E4" w14:paraId="27C46F32" w14:textId="76B16C6F">
            <w:pPr>
              <w:overflowPunct/>
              <w:autoSpaceDE/>
              <w:autoSpaceDN/>
              <w:adjustRightInd/>
              <w:ind w:right="6" w:firstLine="202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Nometnes vajadzībām plānots izma</w:t>
            </w:r>
            <w:r>
              <w:rPr>
                <w:sz w:val="24"/>
                <w:lang w:val="lv-LV"/>
              </w:rPr>
              <w:t>n</w:t>
            </w:r>
            <w:r>
              <w:rPr>
                <w:sz w:val="24"/>
                <w:lang w:val="lv-LV"/>
              </w:rPr>
              <w:t xml:space="preserve">tot sporta centra peldbaseinu kompleksu ar ūdens atrakciju parku un sporta zāli. </w:t>
            </w:r>
            <w:r w:rsidRPr="00F825CD">
              <w:rPr>
                <w:sz w:val="24"/>
                <w:lang w:val="lv-LV"/>
              </w:rPr>
              <w:t xml:space="preserve">Pie sporta zāles ir </w:t>
            </w:r>
            <w:r>
              <w:rPr>
                <w:sz w:val="24"/>
                <w:lang w:val="lv-LV"/>
              </w:rPr>
              <w:t xml:space="preserve">4 </w:t>
            </w:r>
            <w:r w:rsidRPr="00F825CD">
              <w:rPr>
                <w:sz w:val="24"/>
                <w:lang w:val="lv-LV"/>
              </w:rPr>
              <w:t>ģērbtuves</w:t>
            </w:r>
            <w:r>
              <w:rPr>
                <w:sz w:val="24"/>
                <w:lang w:val="lv-LV"/>
              </w:rPr>
              <w:t xml:space="preserve">, </w:t>
            </w:r>
            <w:r w:rsidRPr="00F825CD">
              <w:rPr>
                <w:sz w:val="24"/>
                <w:lang w:val="lv-LV"/>
              </w:rPr>
              <w:t>dušas telpas un tualetes telpas zēniem un meitenēm</w:t>
            </w:r>
            <w:r>
              <w:rPr>
                <w:sz w:val="24"/>
                <w:lang w:val="lv-LV"/>
              </w:rPr>
              <w:t>, kā arī viena treneru ģērbtuve.</w:t>
            </w:r>
            <w:r w:rsidR="00886E6A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Sporta zāle ir piemērota dažādu sporta veidu treniņu un spēļu aizvadīšanai. </w:t>
            </w:r>
            <w:r>
              <w:rPr>
                <w:sz w:val="24"/>
                <w:lang w:val="lv-LV"/>
              </w:rPr>
              <w:t>Peldbaseinu kompleksā ir</w:t>
            </w:r>
            <w:r w:rsidR="00F825CD">
              <w:rPr>
                <w:sz w:val="24"/>
                <w:lang w:val="lv-LV"/>
              </w:rPr>
              <w:t xml:space="preserve"> lielais ar četriem peldēšanas celiņiem un mazais baseins, </w:t>
            </w:r>
            <w:r>
              <w:rPr>
                <w:sz w:val="24"/>
                <w:lang w:val="lv-LV"/>
              </w:rPr>
              <w:t xml:space="preserve"> 4 ģ</w:t>
            </w:r>
            <w:r w:rsidRPr="000238DA">
              <w:rPr>
                <w:sz w:val="24"/>
                <w:lang w:val="lv-LV"/>
              </w:rPr>
              <w:t xml:space="preserve">ērbtuves ar </w:t>
            </w:r>
            <w:r w:rsidRPr="00F825CD" w:rsidR="00F825CD">
              <w:rPr>
                <w:sz w:val="24"/>
                <w:lang w:val="lv-LV"/>
              </w:rPr>
              <w:t>dušas un tualetes telpa sievietēm, dušas un tualetes vīriešiem</w:t>
            </w:r>
            <w:r w:rsidR="00F825CD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Personīgās higiēnas ievērošanas apstākļi ir nodrošināti. </w:t>
            </w:r>
            <w:r w:rsidR="00F807E4">
              <w:rPr>
                <w:sz w:val="24"/>
                <w:lang w:val="lv-LV"/>
              </w:rPr>
              <w:t xml:space="preserve"> </w:t>
            </w:r>
            <w:r w:rsidRPr="00F807E4" w:rsidR="00F807E4">
              <w:rPr>
                <w:sz w:val="24"/>
                <w:lang w:val="lv-LV"/>
              </w:rPr>
              <w:t>Āra nodarbības peldēšanā</w:t>
            </w:r>
            <w:r w:rsidR="00F807E4">
              <w:rPr>
                <w:sz w:val="24"/>
                <w:lang w:val="lv-LV"/>
              </w:rPr>
              <w:t xml:space="preserve"> </w:t>
            </w:r>
            <w:r w:rsidRPr="00F807E4" w:rsidR="00F807E4">
              <w:rPr>
                <w:sz w:val="24"/>
                <w:lang w:val="lv-LV"/>
              </w:rPr>
              <w:t>notiks</w:t>
            </w:r>
            <w:r w:rsidR="00F807E4">
              <w:rPr>
                <w:sz w:val="24"/>
                <w:lang w:val="lv-LV"/>
              </w:rPr>
              <w:t xml:space="preserve"> </w:t>
            </w:r>
            <w:r w:rsidRPr="00F807E4" w:rsidR="00F807E4">
              <w:rPr>
                <w:sz w:val="24"/>
                <w:lang w:val="lv-LV"/>
              </w:rPr>
              <w:t>Siguldas oficiālajā peldvietā pie Gaujas</w:t>
            </w:r>
            <w:r w:rsidR="00F807E4">
              <w:rPr>
                <w:sz w:val="24"/>
                <w:lang w:val="lv-LV"/>
              </w:rPr>
              <w:t>.</w:t>
            </w:r>
          </w:p>
          <w:p w:rsidR="00246554" w:rsidRPr="00246554" w:rsidP="00D437BF" w14:paraId="312F5268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</w:t>
            </w:r>
            <w:r w:rsidRPr="00246554" w:rsidR="00D437BF">
              <w:rPr>
                <w:b/>
                <w:sz w:val="24"/>
                <w:lang w:val="lv-LV"/>
              </w:rPr>
              <w:t>. Iekštelpu virsmu apdare</w:t>
            </w:r>
          </w:p>
          <w:p w:rsidR="00D437BF" w:rsidRPr="00246554" w:rsidP="00F22DE4" w14:paraId="66B8D08C" w14:textId="1936F084">
            <w:pPr>
              <w:overflowPunct/>
              <w:autoSpaceDE/>
              <w:adjustRightInd/>
              <w:ind w:right="6" w:firstLine="202"/>
              <w:jc w:val="both"/>
              <w:rPr>
                <w:spacing w:val="-2"/>
                <w:sz w:val="24"/>
                <w:lang w:val="lv-LV"/>
              </w:rPr>
            </w:pPr>
            <w:r w:rsidRPr="007238F8">
              <w:rPr>
                <w:sz w:val="24"/>
                <w:lang w:val="lv-LV"/>
              </w:rPr>
              <w:t>Telpu apdarei un aprīkojumam izmantoti viegli tīrāmi un dezinficējami materiāli</w:t>
            </w:r>
            <w:r>
              <w:rPr>
                <w:sz w:val="24"/>
                <w:lang w:val="lv-LV"/>
              </w:rPr>
              <w:t xml:space="preserve">.          </w:t>
            </w:r>
          </w:p>
          <w:p w:rsidR="00246554" w:rsidP="00D437BF" w14:paraId="5B25727C" w14:textId="25CA9A18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</w:t>
            </w:r>
            <w:r w:rsidRPr="00246554" w:rsidR="00D437BF">
              <w:rPr>
                <w:b/>
                <w:sz w:val="24"/>
                <w:lang w:val="lv-LV"/>
              </w:rPr>
              <w:t>. Apgaismojums</w:t>
            </w:r>
          </w:p>
          <w:p w:rsidR="003341DA" w:rsidRPr="00214688" w:rsidP="00214688" w14:paraId="68864F6D" w14:textId="75AB6C8F">
            <w:pPr>
              <w:overflowPunct/>
              <w:autoSpaceDE/>
              <w:adjustRightInd/>
              <w:ind w:right="6" w:firstLine="202"/>
              <w:rPr>
                <w:bCs/>
                <w:sz w:val="24"/>
                <w:lang w:val="lv-LV"/>
              </w:rPr>
            </w:pPr>
            <w:r w:rsidRPr="00214688">
              <w:rPr>
                <w:bCs/>
                <w:sz w:val="24"/>
                <w:lang w:val="lv-LV"/>
              </w:rPr>
              <w:t xml:space="preserve">Dabiskais un mākslīgais apgaismojums. </w:t>
            </w:r>
          </w:p>
          <w:p w:rsidR="00214688" w:rsidRPr="00214688" w:rsidP="00214688" w14:paraId="270216B7" w14:textId="0FF2225A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6.4</w:t>
            </w:r>
            <w:r w:rsidRPr="00246554" w:rsidR="00D437BF">
              <w:rPr>
                <w:b/>
                <w:sz w:val="24"/>
                <w:lang w:val="lv-LV"/>
              </w:rPr>
              <w:t xml:space="preserve">. Siltumapgāde </w:t>
            </w:r>
            <w:r w:rsidRPr="00214688">
              <w:rPr>
                <w:spacing w:val="-2"/>
                <w:sz w:val="20"/>
                <w:szCs w:val="20"/>
                <w:lang w:val="lv-LV"/>
              </w:rPr>
              <w:tab/>
            </w:r>
          </w:p>
          <w:p w:rsidR="00D437BF" w:rsidRPr="00214688" w:rsidP="00214688" w14:paraId="2317B982" w14:textId="73E2BD07">
            <w:pPr>
              <w:overflowPunct/>
              <w:autoSpaceDE/>
              <w:adjustRightInd/>
              <w:ind w:right="6" w:firstLine="202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>C</w:t>
            </w:r>
            <w:r w:rsidRPr="00214688">
              <w:rPr>
                <w:spacing w:val="-2"/>
                <w:sz w:val="24"/>
                <w:lang w:val="lv-LV"/>
              </w:rPr>
              <w:t>entralizēta</w:t>
            </w:r>
            <w:r>
              <w:rPr>
                <w:spacing w:val="-2"/>
                <w:sz w:val="24"/>
                <w:lang w:val="lv-LV"/>
              </w:rPr>
              <w:t>.</w:t>
            </w:r>
          </w:p>
          <w:p w:rsidR="00CF27A6" w:rsidP="00A7576E" w14:paraId="60346A25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6.5</w:t>
            </w:r>
            <w:r w:rsidRPr="00246554" w:rsidR="00D437BF">
              <w:rPr>
                <w:b/>
                <w:sz w:val="24"/>
                <w:lang w:val="lv-LV"/>
              </w:rPr>
              <w:t xml:space="preserve">. Gaisa apmaiņa </w:t>
            </w:r>
          </w:p>
          <w:p w:rsidR="003341DA" w:rsidRPr="00214688" w:rsidP="00214688" w14:paraId="0E08E015" w14:textId="330B7415">
            <w:pPr>
              <w:overflowPunct/>
              <w:autoSpaceDE/>
              <w:adjustRightInd/>
              <w:ind w:right="6" w:firstLine="202"/>
              <w:jc w:val="both"/>
              <w:rPr>
                <w:bCs/>
                <w:sz w:val="24"/>
                <w:lang w:val="lv-LV"/>
              </w:rPr>
            </w:pPr>
            <w:r w:rsidRPr="00214688">
              <w:rPr>
                <w:bCs/>
                <w:sz w:val="24"/>
                <w:lang w:val="lv-LV"/>
              </w:rPr>
              <w:t xml:space="preserve">Dabiskā </w:t>
            </w:r>
            <w:r>
              <w:rPr>
                <w:bCs/>
                <w:sz w:val="24"/>
                <w:lang w:val="lv-LV"/>
              </w:rPr>
              <w:t xml:space="preserve">un mehāniska ventilācijas sistēma sporta zālē un baseina telpās. Sanitārajos mezglos piespiedu nosūces ventilācijas sistēma. </w:t>
            </w:r>
          </w:p>
          <w:p w:rsidR="002213CB" w:rsidRPr="000964F0" w:rsidP="00D437BF" w14:paraId="5E16BF8D" w14:textId="1000E975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</w:t>
            </w:r>
            <w:r w:rsidRPr="00246554" w:rsidR="00D437BF">
              <w:rPr>
                <w:b/>
                <w:sz w:val="24"/>
                <w:lang w:val="lv-LV"/>
              </w:rPr>
              <w:t>. Ūdens apgāde</w:t>
            </w:r>
          </w:p>
          <w:p w:rsidR="00083D68" w:rsidRPr="002213CB" w:rsidP="00214688" w14:paraId="31CCAC57" w14:textId="10C6EDED">
            <w:pPr>
              <w:overflowPunct/>
              <w:autoSpaceDE/>
              <w:adjustRightInd/>
              <w:ind w:right="6" w:firstLine="202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 xml:space="preserve">Pieslēgums centralizētajiem ūdensapgādes tīkliem. Centralizēta karstā ūdens sagatavošana no siltumtīkla. </w:t>
            </w:r>
            <w:r w:rsidRPr="00214688">
              <w:rPr>
                <w:spacing w:val="-2"/>
                <w:sz w:val="24"/>
                <w:lang w:val="lv-LV"/>
              </w:rPr>
              <w:t>Ir nepārtraukta karstā ūdens padeve</w:t>
            </w:r>
            <w:r>
              <w:rPr>
                <w:spacing w:val="-2"/>
                <w:sz w:val="24"/>
                <w:lang w:val="lv-LV"/>
              </w:rPr>
              <w:t xml:space="preserve">. </w:t>
            </w:r>
          </w:p>
          <w:p w:rsidR="002213CB" w:rsidRPr="000964F0" w:rsidP="00A7576E" w14:paraId="13FC65E4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</w:t>
            </w:r>
            <w:r w:rsidRPr="00246554" w:rsidR="00D437BF">
              <w:rPr>
                <w:b/>
                <w:sz w:val="24"/>
                <w:lang w:val="lv-LV"/>
              </w:rPr>
              <w:t>. Kanalizācijas sistēma</w:t>
            </w:r>
          </w:p>
          <w:p w:rsidR="008179CE" w:rsidRPr="002213CB" w:rsidP="00214688" w14:paraId="552839FA" w14:textId="2EA45150">
            <w:pPr>
              <w:overflowPunct/>
              <w:autoSpaceDE/>
              <w:adjustRightInd/>
              <w:ind w:right="6" w:firstLine="202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 xml:space="preserve">Pieslēgums centralizētajiem kanalizācijas tīkliem. </w:t>
            </w:r>
            <w:r w:rsidRPr="00D84C4B" w:rsidR="00B02BBD">
              <w:rPr>
                <w:sz w:val="24"/>
                <w:lang w:val="lv-LV"/>
              </w:rPr>
              <w:t xml:space="preserve"> </w:t>
            </w:r>
          </w:p>
          <w:p w:rsidR="002213CB" w:rsidRPr="000964F0" w:rsidP="008179CE" w14:paraId="03451A45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</w:t>
            </w:r>
            <w:r w:rsidRPr="00246554" w:rsidR="008179CE">
              <w:rPr>
                <w:b/>
                <w:sz w:val="24"/>
                <w:lang w:val="lv-LV"/>
              </w:rPr>
              <w:t>. </w:t>
            </w:r>
            <w:r w:rsidRPr="00246554" w:rsidR="00D437BF">
              <w:rPr>
                <w:b/>
                <w:sz w:val="24"/>
                <w:lang w:val="lv-LV"/>
              </w:rPr>
              <w:t>Teritorijas labiekārtošana</w:t>
            </w:r>
          </w:p>
          <w:p w:rsidR="00D437BF" w:rsidRPr="002213CB" w:rsidP="00F22DE4" w14:paraId="0D0D7281" w14:textId="30EBCCBA">
            <w:pPr>
              <w:overflowPunct/>
              <w:autoSpaceDE/>
              <w:autoSpaceDN/>
              <w:adjustRightInd/>
              <w:ind w:right="6" w:firstLine="202"/>
              <w:jc w:val="both"/>
              <w:textAlignment w:val="auto"/>
              <w:rPr>
                <w:i/>
                <w:spacing w:val="-2"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Apkārtējā teritorija ir labiekārtota. Blakus ēkai ir sporta laukums. </w:t>
            </w:r>
          </w:p>
          <w:p w:rsidR="002E3FF9" w:rsidRPr="000964F0" w:rsidP="00D437BF" w14:paraId="74379EA7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</w:t>
            </w:r>
            <w:r w:rsidRPr="00246554" w:rsidR="00D437BF">
              <w:rPr>
                <w:b/>
                <w:sz w:val="24"/>
                <w:lang w:val="lv-LV"/>
              </w:rPr>
              <w:t>. Vides pieejamība</w:t>
            </w:r>
          </w:p>
          <w:p w:rsidR="00D437BF" w:rsidRPr="00A7176E" w:rsidP="00214688" w14:paraId="4CC9490E" w14:textId="5997C5FD">
            <w:pPr>
              <w:overflowPunct/>
              <w:autoSpaceDE/>
              <w:adjustRightInd/>
              <w:ind w:right="6" w:firstLine="176"/>
              <w:rPr>
                <w:spacing w:val="-2"/>
                <w:sz w:val="24"/>
                <w:lang w:val="lv-LV"/>
              </w:rPr>
            </w:pPr>
            <w:r w:rsidRPr="00DC63C8">
              <w:rPr>
                <w:spacing w:val="-2"/>
                <w:sz w:val="24"/>
                <w:lang w:val="lv-LV"/>
              </w:rPr>
              <w:t>Nometnes darbībā nepiedalīsies dalībnieki ar funkcionālajiem traucējumiem.</w:t>
            </w:r>
          </w:p>
          <w:p w:rsidR="00A7176E" w:rsidRPr="000964F0" w:rsidP="00D437BF" w14:paraId="61046C9C" w14:textId="77777777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6.10</w:t>
            </w:r>
            <w:r w:rsidRPr="00246554" w:rsidR="00D437BF">
              <w:rPr>
                <w:b/>
                <w:sz w:val="24"/>
                <w:lang w:val="lv-LV"/>
              </w:rPr>
              <w:t>.Riska faktoru novērtēšana</w:t>
            </w:r>
            <w:r w:rsidR="006834AF">
              <w:rPr>
                <w:b/>
                <w:sz w:val="24"/>
                <w:lang w:val="lv-LV"/>
              </w:rPr>
              <w:t xml:space="preserve"> un cita informācija</w:t>
            </w:r>
          </w:p>
          <w:p w:rsidR="00F807E4" w:rsidP="00214688" w14:paraId="5BB08BB8" w14:textId="1EECE697">
            <w:pPr>
              <w:tabs>
                <w:tab w:val="left" w:pos="993"/>
              </w:tabs>
              <w:ind w:firstLine="201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P</w:t>
            </w:r>
            <w:r w:rsidRPr="000D2CE4">
              <w:rPr>
                <w:sz w:val="24"/>
                <w:lang w:val="lv-LV"/>
              </w:rPr>
              <w:t>eldēties pieaugušo uzraudzībā un dienas gaismā</w:t>
            </w:r>
            <w:r>
              <w:rPr>
                <w:sz w:val="24"/>
                <w:lang w:val="lv-LV"/>
              </w:rPr>
              <w:t>.</w:t>
            </w:r>
          </w:p>
          <w:p w:rsidR="00C17178" w:rsidRPr="008A3DA7" w:rsidP="00214688" w14:paraId="3B486C9D" w14:textId="1269D92B">
            <w:pPr>
              <w:tabs>
                <w:tab w:val="left" w:pos="993"/>
              </w:tabs>
              <w:ind w:firstLine="201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Bērni p</w:t>
            </w:r>
            <w:r w:rsidRPr="0019797F">
              <w:rPr>
                <w:sz w:val="24"/>
                <w:lang w:val="lv-LV"/>
              </w:rPr>
              <w:t>eldbaseinu drīkst apmeklēt tikai pieaugušo personu</w:t>
            </w:r>
            <w:r w:rsidR="00F807E4">
              <w:rPr>
                <w:sz w:val="24"/>
                <w:lang w:val="lv-LV"/>
              </w:rPr>
              <w:t xml:space="preserve">/treneru </w:t>
            </w:r>
            <w:r w:rsidRPr="0019797F">
              <w:rPr>
                <w:sz w:val="24"/>
                <w:lang w:val="lv-LV"/>
              </w:rPr>
              <w:t>klātbūtnē un atrodas šo personu uzraudzībā.</w:t>
            </w:r>
          </w:p>
        </w:tc>
      </w:tr>
      <w:tr w14:paraId="56621860" w14:textId="77777777" w:rsidTr="00472C6E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34" w:rsidRPr="000964F0" w:rsidP="00D71A5E" w14:paraId="75C808D6" w14:textId="77777777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 w:rsidRPr="00641605">
              <w:rPr>
                <w:b/>
                <w:bCs/>
                <w:caps/>
                <w:sz w:val="24"/>
                <w:lang w:val="lv-LV"/>
              </w:rPr>
              <w:t>7.</w:t>
            </w:r>
            <w:r>
              <w:rPr>
                <w:b/>
                <w:caps/>
                <w:sz w:val="24"/>
                <w:lang w:val="lv-LV"/>
              </w:rPr>
              <w:t xml:space="preserve"> </w:t>
            </w:r>
            <w:r w:rsidR="00EB5F72">
              <w:rPr>
                <w:b/>
                <w:caps/>
                <w:sz w:val="24"/>
                <w:lang w:val="lv-LV"/>
              </w:rPr>
              <w:t>Slēdziens</w:t>
            </w:r>
          </w:p>
          <w:p w:rsidR="00DB6B34" w:rsidRPr="006E0C73" w:rsidP="00F22DE4" w14:paraId="1D8A1C08" w14:textId="68A36E4F">
            <w:pPr>
              <w:ind w:firstLine="202"/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4350CC">
              <w:rPr>
                <w:sz w:val="24"/>
                <w:lang w:val="lv-LV"/>
              </w:rPr>
              <w:t>Objekts “Bērnu dienas nometne “Peldam droši Siguldā”</w:t>
            </w:r>
            <w:r w:rsidRPr="000E47B6">
              <w:rPr>
                <w:sz w:val="24"/>
                <w:lang w:val="lv-LV"/>
              </w:rPr>
              <w:t xml:space="preserve">” </w:t>
            </w:r>
            <w:r w:rsidRPr="004350CC">
              <w:rPr>
                <w:sz w:val="24"/>
                <w:lang w:val="lv-LV"/>
              </w:rPr>
              <w:t>Ata Kronvalda iel</w:t>
            </w:r>
            <w:r>
              <w:rPr>
                <w:sz w:val="24"/>
                <w:lang w:val="lv-LV"/>
              </w:rPr>
              <w:t>ā</w:t>
            </w:r>
            <w:r w:rsidRPr="004350CC">
              <w:rPr>
                <w:sz w:val="24"/>
                <w:lang w:val="lv-LV"/>
              </w:rPr>
              <w:t xml:space="preserve"> 7a, Siguld</w:t>
            </w:r>
            <w:r>
              <w:rPr>
                <w:sz w:val="24"/>
                <w:lang w:val="lv-LV"/>
              </w:rPr>
              <w:t xml:space="preserve">ā, Siguldas novadā </w:t>
            </w:r>
            <w:r w:rsidRPr="000E47B6">
              <w:rPr>
                <w:sz w:val="24"/>
                <w:lang w:val="lv-LV"/>
              </w:rPr>
              <w:t>atbilst higiēnas prasībām</w:t>
            </w:r>
            <w:r>
              <w:rPr>
                <w:sz w:val="24"/>
                <w:lang w:val="lv-LV"/>
              </w:rPr>
              <w:t>.</w:t>
            </w:r>
          </w:p>
        </w:tc>
      </w:tr>
      <w:tr w14:paraId="79D4612E" w14:textId="77777777" w:rsidTr="00C752CC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8" w:rsidRPr="000964F0" w:rsidP="00C17178" w14:paraId="0C4E00EE" w14:textId="77777777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641605" w:rsidRPr="00D32BD8" w:rsidP="00641605" w14:paraId="1C1AE3A5" w14:textId="77777777">
            <w:pPr>
              <w:ind w:firstLine="5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O</w:t>
            </w:r>
            <w:r w:rsidRPr="00DB5642">
              <w:rPr>
                <w:sz w:val="24"/>
                <w:lang w:val="lv-LV"/>
              </w:rPr>
              <w:t>bjekta darbības laikā ievērot</w:t>
            </w:r>
            <w:r>
              <w:rPr>
                <w:sz w:val="24"/>
                <w:lang w:val="lv-LV"/>
              </w:rPr>
              <w:t>:</w:t>
            </w:r>
          </w:p>
          <w:p w:rsidR="00641605" w:rsidP="00641605" w14:paraId="4E9BE4DE" w14:textId="58E9009B">
            <w:pPr>
              <w:tabs>
                <w:tab w:val="left" w:pos="200"/>
              </w:tabs>
              <w:spacing w:before="60" w:after="60"/>
              <w:ind w:left="200" w:hanging="142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- ar Veselības ministriju </w:t>
            </w:r>
            <w:r w:rsidRPr="007E5E21">
              <w:rPr>
                <w:sz w:val="24"/>
                <w:lang w:val="lv-LV"/>
              </w:rPr>
              <w:t>saskaņotās „Vadlīnijas piesardzības pasākumiem bērnu nometņu organizētājiem” un regulāri sekot līdzi vadlīniju papildinājumiem un/vai atjauninājumiem</w:t>
            </w:r>
            <w:r>
              <w:rPr>
                <w:sz w:val="24"/>
                <w:lang w:val="lv-LV"/>
              </w:rPr>
              <w:t>;</w:t>
            </w:r>
          </w:p>
          <w:p w:rsidR="00641605" w:rsidP="00641605" w14:paraId="4DA7F945" w14:textId="77777777">
            <w:pPr>
              <w:tabs>
                <w:tab w:val="left" w:pos="200"/>
              </w:tabs>
              <w:spacing w:before="60" w:after="60"/>
              <w:ind w:left="200" w:hanging="142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8E3247">
              <w:rPr>
                <w:sz w:val="24"/>
                <w:lang w:val="lv-LV"/>
              </w:rPr>
              <w:t>Ministru</w:t>
            </w:r>
            <w:r>
              <w:rPr>
                <w:sz w:val="24"/>
                <w:lang w:val="lv-LV"/>
              </w:rPr>
              <w:t xml:space="preserve"> kabineta 28.09.2021. noteikumus</w:t>
            </w:r>
            <w:r w:rsidRPr="008E3247">
              <w:rPr>
                <w:sz w:val="24"/>
                <w:lang w:val="lv-LV"/>
              </w:rPr>
              <w:t xml:space="preserve"> Nr. 662 „Epidemiol</w:t>
            </w:r>
            <w:r>
              <w:rPr>
                <w:sz w:val="24"/>
                <w:lang w:val="lv-LV"/>
              </w:rPr>
              <w:t>oģiskās drošības pasākumi Covid</w:t>
            </w:r>
            <w:r w:rsidRPr="008E3247">
              <w:rPr>
                <w:sz w:val="24"/>
                <w:lang w:val="lv-LV"/>
              </w:rPr>
              <w:t>-19 infekcijas izplatības ierobežošanai”, 01.09.2009. noteikumu</w:t>
            </w:r>
            <w:r>
              <w:rPr>
                <w:sz w:val="24"/>
                <w:lang w:val="lv-LV"/>
              </w:rPr>
              <w:t>s</w:t>
            </w:r>
            <w:r w:rsidRPr="008E3247">
              <w:rPr>
                <w:sz w:val="24"/>
                <w:lang w:val="lv-LV"/>
              </w:rPr>
              <w:t xml:space="preserve"> Nr. 981 „Bērnu nometņu organizēšanas un darbības kārtība”</w:t>
            </w:r>
            <w:r>
              <w:rPr>
                <w:sz w:val="24"/>
                <w:lang w:val="lv-LV"/>
              </w:rPr>
              <w:t xml:space="preserve"> prasības</w:t>
            </w:r>
            <w:r w:rsidRPr="008E3247">
              <w:rPr>
                <w:sz w:val="24"/>
                <w:lang w:val="lv-LV"/>
              </w:rPr>
              <w:t>, kā arī pretepidēmiskā režīma ievērošanu un</w:t>
            </w:r>
            <w:r w:rsidRPr="00673CF4">
              <w:rPr>
                <w:sz w:val="24"/>
                <w:lang w:val="lv-LV"/>
              </w:rPr>
              <w:t xml:space="preserve"> bērnu veselībai drošu vidi</w:t>
            </w:r>
            <w:r>
              <w:rPr>
                <w:sz w:val="24"/>
                <w:lang w:val="lv-LV"/>
              </w:rPr>
              <w:t>;</w:t>
            </w:r>
          </w:p>
          <w:p w:rsidR="002F4108" w:rsidRPr="00402D47" w:rsidP="00641605" w14:paraId="65BF600B" w14:textId="40129B57">
            <w:pPr>
              <w:tabs>
                <w:tab w:val="left" w:pos="200"/>
              </w:tabs>
              <w:spacing w:before="60" w:after="60"/>
              <w:ind w:left="200" w:hanging="142"/>
              <w:jc w:val="both"/>
              <w:textAlignment w:val="auto"/>
              <w:rPr>
                <w:sz w:val="20"/>
                <w:szCs w:val="20"/>
                <w:u w:val="single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673CF4">
              <w:rPr>
                <w:sz w:val="24"/>
                <w:lang w:val="lv-LV"/>
              </w:rPr>
              <w:t xml:space="preserve">pirms nometnes darbības uzsākšanas personālam ir jāsaņem ārsta atļauja darbam, saskaņā ar Ministru kabineta 24.07.2018. noteikumu Nr. 447 „Noteikumi par darbiem, kas saistīti </w:t>
            </w:r>
            <w:r>
              <w:rPr>
                <w:sz w:val="24"/>
                <w:lang w:val="lv-LV"/>
              </w:rPr>
              <w:t xml:space="preserve">                 </w:t>
            </w:r>
            <w:r w:rsidRPr="00673CF4">
              <w:rPr>
                <w:sz w:val="24"/>
                <w:lang w:val="lv-LV"/>
              </w:rPr>
              <w:t>ar iespējamu risku citu cilvēku veselībai, un obligāto veselības pārbaužu veikšanas kārtība” prasībām.</w:t>
            </w:r>
          </w:p>
        </w:tc>
      </w:tr>
    </w:tbl>
    <w:p w:rsidR="002A39F3" w:rsidP="002A39F3" w14:paraId="63A12416" w14:textId="77777777">
      <w:pPr>
        <w:jc w:val="both"/>
        <w:rPr>
          <w:sz w:val="24"/>
          <w:lang w:val="lv-LV"/>
        </w:rPr>
      </w:pPr>
    </w:p>
    <w:p w:rsidR="00D84C4B" w:rsidP="00D84C4B" w14:paraId="37F23BEE" w14:textId="3C2B0727">
      <w:pPr>
        <w:jc w:val="both"/>
        <w:rPr>
          <w:sz w:val="24"/>
          <w:lang w:val="lv-LV"/>
        </w:rPr>
      </w:pPr>
    </w:p>
    <w:tbl>
      <w:tblPr>
        <w:tblW w:w="8540" w:type="dxa"/>
        <w:tblInd w:w="108" w:type="dxa"/>
        <w:tblLayout w:type="fixed"/>
        <w:tblLook w:val="04A0"/>
      </w:tblPr>
      <w:tblGrid>
        <w:gridCol w:w="6838"/>
        <w:gridCol w:w="1702"/>
      </w:tblGrid>
      <w:tr w14:paraId="355CAF75" w14:textId="77777777" w:rsidTr="00641605">
        <w:tblPrEx>
          <w:tblW w:w="8540" w:type="dxa"/>
          <w:tblInd w:w="108" w:type="dxa"/>
          <w:tblLayout w:type="fixed"/>
          <w:tblLook w:val="04A0"/>
        </w:tblPrEx>
        <w:tc>
          <w:tcPr>
            <w:tcW w:w="6838" w:type="dxa"/>
            <w:vAlign w:val="bottom"/>
          </w:tcPr>
          <w:p w:rsidR="00641605" w:rsidP="00A81604" w14:paraId="17F56E8F" w14:textId="77777777">
            <w:pPr>
              <w:rPr>
                <w:sz w:val="24"/>
                <w:lang w:val="lv-LV"/>
              </w:rPr>
            </w:pPr>
          </w:p>
          <w:p w:rsidR="00641605" w:rsidP="00A81604" w14:paraId="3D9F25BD" w14:textId="77777777">
            <w:pPr>
              <w:ind w:hanging="108"/>
              <w:rPr>
                <w:sz w:val="24"/>
                <w:lang w:val="lv-LV"/>
              </w:rPr>
            </w:pPr>
          </w:p>
          <w:p w:rsidR="00641605" w:rsidRPr="005047F5" w:rsidP="00A81604" w14:paraId="1D778992" w14:textId="77777777">
            <w:pPr>
              <w:ind w:hanging="108"/>
              <w:rPr>
                <w:sz w:val="24"/>
                <w:lang w:val="lv-LV"/>
              </w:rPr>
            </w:pPr>
            <w:r w:rsidRPr="00B715B1">
              <w:rPr>
                <w:sz w:val="24"/>
                <w:lang w:val="lv-LV"/>
              </w:rPr>
              <w:t xml:space="preserve">Sabiedrības veselības </w:t>
            </w:r>
            <w:r w:rsidRPr="00B715B1">
              <w:rPr>
                <w:bCs/>
                <w:sz w:val="24"/>
                <w:lang w:val="lv-LV"/>
              </w:rPr>
              <w:t>departamenta</w:t>
            </w:r>
          </w:p>
        </w:tc>
        <w:tc>
          <w:tcPr>
            <w:tcW w:w="1702" w:type="dxa"/>
          </w:tcPr>
          <w:p w:rsidR="00641605" w:rsidRPr="008A3DA7" w:rsidP="00A81604" w14:paraId="0DE56B93" w14:textId="77777777">
            <w:pPr>
              <w:ind w:left="-958" w:right="-108" w:firstLine="850"/>
              <w:rPr>
                <w:sz w:val="24"/>
                <w:lang w:val="lv-LV"/>
              </w:rPr>
            </w:pPr>
          </w:p>
        </w:tc>
      </w:tr>
      <w:tr w14:paraId="4F813F64" w14:textId="77777777" w:rsidTr="00641605">
        <w:tblPrEx>
          <w:tblW w:w="8540" w:type="dxa"/>
          <w:tblInd w:w="108" w:type="dxa"/>
          <w:tblLayout w:type="fixed"/>
          <w:tblLook w:val="04A0"/>
        </w:tblPrEx>
        <w:tc>
          <w:tcPr>
            <w:tcW w:w="6838" w:type="dxa"/>
            <w:vAlign w:val="bottom"/>
          </w:tcPr>
          <w:p w:rsidR="00641605" w:rsidRPr="008A3DA7" w:rsidP="00A81604" w14:paraId="3FC3F92A" w14:textId="77777777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 w:rsidRPr="00455013"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 xml:space="preserve">nodaļas </w:t>
            </w:r>
            <w:r w:rsidRPr="00E00790">
              <w:rPr>
                <w:sz w:val="24"/>
                <w:lang w:val="lv-LV"/>
              </w:rPr>
              <w:t>vides veselības analītiķe</w:t>
            </w:r>
          </w:p>
        </w:tc>
        <w:tc>
          <w:tcPr>
            <w:tcW w:w="1702" w:type="dxa"/>
          </w:tcPr>
          <w:p w:rsidR="00641605" w:rsidRPr="008A3DA7" w:rsidP="00A81604" w14:paraId="5C3A9C0B" w14:textId="77777777">
            <w:pPr>
              <w:tabs>
                <w:tab w:val="left" w:pos="9390"/>
              </w:tabs>
              <w:ind w:right="-145" w:hanging="104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Jeļena Gorjačeva</w:t>
            </w:r>
          </w:p>
        </w:tc>
      </w:tr>
      <w:tr w14:paraId="54220BB3" w14:textId="77777777" w:rsidTr="00641605">
        <w:tblPrEx>
          <w:tblW w:w="8540" w:type="dxa"/>
          <w:tblInd w:w="108" w:type="dxa"/>
          <w:tblLayout w:type="fixed"/>
          <w:tblLook w:val="04A0"/>
        </w:tblPrEx>
        <w:tc>
          <w:tcPr>
            <w:tcW w:w="6838" w:type="dxa"/>
            <w:vAlign w:val="bottom"/>
          </w:tcPr>
          <w:p w:rsidR="00641605" w:rsidP="00A81604" w14:paraId="2C69C0A9" w14:textId="77777777">
            <w:pPr>
              <w:rPr>
                <w:sz w:val="24"/>
                <w:lang w:val="lv-LV"/>
              </w:rPr>
            </w:pPr>
          </w:p>
        </w:tc>
        <w:tc>
          <w:tcPr>
            <w:tcW w:w="1702" w:type="dxa"/>
          </w:tcPr>
          <w:p w:rsidR="00641605" w:rsidP="00A81604" w14:paraId="7010EB5C" w14:textId="77777777">
            <w:pPr>
              <w:tabs>
                <w:tab w:val="left" w:pos="9390"/>
              </w:tabs>
              <w:ind w:right="-145"/>
              <w:jc w:val="both"/>
              <w:rPr>
                <w:sz w:val="24"/>
                <w:lang w:val="lv-LV"/>
              </w:rPr>
            </w:pPr>
          </w:p>
        </w:tc>
      </w:tr>
    </w:tbl>
    <w:p w:rsidR="00641605" w:rsidRPr="00B715B1" w:rsidP="00641605" w14:paraId="3927C5CB" w14:textId="77777777">
      <w:pPr>
        <w:ind w:right="-1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</w:t>
      </w:r>
    </w:p>
    <w:p w:rsidR="00641605" w:rsidP="00641605" w14:paraId="45DBC893" w14:textId="77777777">
      <w:pPr>
        <w:rPr>
          <w:sz w:val="24"/>
          <w:lang w:val="lv-LV"/>
        </w:rPr>
      </w:pPr>
    </w:p>
    <w:p w:rsidR="00641605" w:rsidRPr="00B715B1" w:rsidP="00641605" w14:paraId="1BAA825A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356"/>
      </w:tblGrid>
      <w:tr w14:paraId="7001069C" w14:textId="77777777" w:rsidTr="00A81604">
        <w:tblPrEx>
          <w:tblW w:w="9356" w:type="dxa"/>
          <w:tblInd w:w="108" w:type="dxa"/>
          <w:tblLook w:val="04A0"/>
        </w:tblPrEx>
        <w:tc>
          <w:tcPr>
            <w:tcW w:w="9356" w:type="dxa"/>
          </w:tcPr>
          <w:p w:rsidR="00641605" w:rsidRPr="00B05905" w:rsidP="00A81604" w14:paraId="77576D17" w14:textId="77777777">
            <w:pPr>
              <w:ind w:hanging="68"/>
              <w:rPr>
                <w:sz w:val="24"/>
                <w:lang w:val="lv-LV"/>
              </w:rPr>
            </w:pPr>
            <w:bookmarkStart w:id="0" w:name="_Hlk120192761"/>
            <w:r w:rsidRPr="00B05905">
              <w:rPr>
                <w:sz w:val="24"/>
                <w:lang w:val="lv-LV"/>
              </w:rPr>
              <w:t xml:space="preserve">Jeļena Gorjačeva, </w:t>
            </w:r>
            <w:r w:rsidRPr="00E15C3B">
              <w:rPr>
                <w:sz w:val="24"/>
                <w:lang w:val="lv-LV"/>
              </w:rPr>
              <w:t>67081537</w:t>
            </w:r>
          </w:p>
        </w:tc>
      </w:tr>
      <w:tr w14:paraId="08BBC651" w14:textId="77777777" w:rsidTr="00A81604">
        <w:tblPrEx>
          <w:tblW w:w="9356" w:type="dxa"/>
          <w:tblInd w:w="108" w:type="dxa"/>
          <w:tblLook w:val="04A0"/>
        </w:tblPrEx>
        <w:trPr>
          <w:trHeight w:val="66"/>
        </w:trPr>
        <w:tc>
          <w:tcPr>
            <w:tcW w:w="9356" w:type="dxa"/>
          </w:tcPr>
          <w:p w:rsidR="00641605" w:rsidRPr="00B05905" w:rsidP="00A81604" w14:paraId="7267873B" w14:textId="77777777">
            <w:pPr>
              <w:ind w:hanging="68"/>
              <w:rPr>
                <w:sz w:val="24"/>
                <w:lang w:val="lv-LV"/>
              </w:rPr>
            </w:pPr>
            <w:r w:rsidRPr="00B05905">
              <w:rPr>
                <w:sz w:val="24"/>
                <w:lang w:val="lv-LV"/>
              </w:rPr>
              <w:t>jelena.gorjaceva@vi.gov.lv</w:t>
            </w:r>
          </w:p>
        </w:tc>
      </w:tr>
      <w:bookmarkEnd w:id="0"/>
    </w:tbl>
    <w:p w:rsidR="00641605" w:rsidP="00641605" w14:paraId="26B3C9D9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p w:rsidR="00FB48CC" w:rsidP="00D84C4B" w14:paraId="1EFACE3F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E53C2B" w14:paraId="75D07FC1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 w14:paraId="5AC20F64" w14:textId="77777777">
    <w:pPr>
      <w:pStyle w:val="Footer"/>
      <w:rPr>
        <w:sz w:val="20"/>
        <w:lang w:val="lv-LV"/>
      </w:rPr>
    </w:pPr>
  </w:p>
  <w:p w:rsidR="002E3FF9" w:rsidRPr="00E53C2B" w:rsidP="00E53C2B" w14:paraId="61D547F7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:rsidP="00B22CEB" w14:paraId="2E89375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14:paraId="611CC8F0" w14:textId="77777777">
    <w:pPr>
      <w:pStyle w:val="Footer"/>
      <w:rPr>
        <w:sz w:val="20"/>
        <w:lang w:val="lv-LV"/>
      </w:rPr>
    </w:pPr>
  </w:p>
  <w:p w:rsidR="002E3FF9" w:rsidRPr="00022614" w14:paraId="28559234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767E78F1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F807E4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 w14:paraId="6CF2B46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E3FF9" w14:paraId="2FA32C53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2E3FF9" w14:paraId="21E8367C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tbl>
    <w:tblPr>
      <w:tblW w:w="9390" w:type="dxa"/>
      <w:tblInd w:w="108" w:type="dxa"/>
      <w:tblLayout w:type="fixed"/>
      <w:tblLook w:val="04A0"/>
    </w:tblPr>
    <w:tblGrid>
      <w:gridCol w:w="6555"/>
      <w:gridCol w:w="2835"/>
    </w:tblGrid>
    <w:tr w14:paraId="0D5B03E8" w14:textId="77777777" w:rsidTr="00D44255">
      <w:tblPrEx>
        <w:tblW w:w="9390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 w14:paraId="26FE2063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835" w:type="dxa"/>
          <w:vAlign w:val="center"/>
        </w:tcPr>
        <w:p w:rsidR="002E3FF9" w:rsidRPr="00C752CC" w:rsidP="00C752CC" w14:paraId="7E2D3E31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RPr="00C752CC" w:rsidP="0035491C" w14:paraId="28B7E1E7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2E3FF9" w:rsidRPr="0035491C" w:rsidP="00C752CC" w14:paraId="31621763" w14:textId="6B7549B7">
          <w:pPr>
            <w:rPr>
              <w:sz w:val="24"/>
              <w:u w:val="single"/>
              <w:lang w:val="lv-LV"/>
            </w:rPr>
          </w:pPr>
          <w:r w:rsidRPr="0035491C">
            <w:rPr>
              <w:bCs/>
              <w:noProof/>
              <w:sz w:val="22"/>
              <w:szCs w:val="22"/>
              <w:u w:val="single"/>
            </w:rPr>
            <w:t>26.05.2023</w:t>
          </w:r>
        </w:p>
        <w:p w:rsidR="002E3FF9" w:rsidP="00C752CC" w14:paraId="1B27FAD9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 w14:paraId="67CF0E0D" w14:textId="3F029884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35491C" w:rsidR="0035491C">
            <w:rPr>
              <w:bCs/>
              <w:noProof/>
              <w:sz w:val="22"/>
              <w:szCs w:val="22"/>
              <w:u w:val="single"/>
            </w:rPr>
            <w:t>2.4.5.-8/329</w:t>
          </w:r>
        </w:p>
      </w:tc>
    </w:tr>
  </w:tbl>
  <w:p w:rsidR="002E3FF9" w:rsidRPr="00783D52" w:rsidP="00633DAF" w14:paraId="77B1A66E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 w14:paraId="754AD14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594DBA" w:rsidP="00594DBA" w14:paraId="524B92CB" w14:textId="694D3BA8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C108EE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C108EE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2E3FF9" w:rsidRPr="00633DAF" w:rsidP="00633DAF" w14:paraId="384B5548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803186385">
    <w:abstractNumId w:val="5"/>
  </w:num>
  <w:num w:numId="2" w16cid:durableId="1508908746">
    <w:abstractNumId w:val="1"/>
  </w:num>
  <w:num w:numId="3" w16cid:durableId="711465001">
    <w:abstractNumId w:val="0"/>
  </w:num>
  <w:num w:numId="4" w16cid:durableId="118692402">
    <w:abstractNumId w:val="3"/>
  </w:num>
  <w:num w:numId="5" w16cid:durableId="97257205">
    <w:abstractNumId w:val="9"/>
  </w:num>
  <w:num w:numId="6" w16cid:durableId="1384985546">
    <w:abstractNumId w:val="10"/>
  </w:num>
  <w:num w:numId="7" w16cid:durableId="785194038">
    <w:abstractNumId w:val="7"/>
  </w:num>
  <w:num w:numId="8" w16cid:durableId="404836921">
    <w:abstractNumId w:val="2"/>
  </w:num>
  <w:num w:numId="9" w16cid:durableId="2117367812">
    <w:abstractNumId w:val="6"/>
  </w:num>
  <w:num w:numId="10" w16cid:durableId="18911914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45235094">
    <w:abstractNumId w:val="12"/>
  </w:num>
  <w:num w:numId="12" w16cid:durableId="15085931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6026523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851419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13731"/>
    <w:rsid w:val="00022614"/>
    <w:rsid w:val="000238DA"/>
    <w:rsid w:val="00035D24"/>
    <w:rsid w:val="00042421"/>
    <w:rsid w:val="00043DA9"/>
    <w:rsid w:val="00044E16"/>
    <w:rsid w:val="00064EB8"/>
    <w:rsid w:val="00082050"/>
    <w:rsid w:val="00083D68"/>
    <w:rsid w:val="000964F0"/>
    <w:rsid w:val="0009799A"/>
    <w:rsid w:val="000A19D0"/>
    <w:rsid w:val="000A4BD0"/>
    <w:rsid w:val="000A7FF6"/>
    <w:rsid w:val="000C05D2"/>
    <w:rsid w:val="000D2CE4"/>
    <w:rsid w:val="000D509E"/>
    <w:rsid w:val="000E47B6"/>
    <w:rsid w:val="00104812"/>
    <w:rsid w:val="00106D19"/>
    <w:rsid w:val="0011454A"/>
    <w:rsid w:val="00114A2B"/>
    <w:rsid w:val="00115CB8"/>
    <w:rsid w:val="00120046"/>
    <w:rsid w:val="00151696"/>
    <w:rsid w:val="00161456"/>
    <w:rsid w:val="0017534B"/>
    <w:rsid w:val="00182E1B"/>
    <w:rsid w:val="001849BB"/>
    <w:rsid w:val="00185E48"/>
    <w:rsid w:val="00196AAD"/>
    <w:rsid w:val="0019797F"/>
    <w:rsid w:val="001A01E9"/>
    <w:rsid w:val="001A06F3"/>
    <w:rsid w:val="001B2A25"/>
    <w:rsid w:val="001B33C1"/>
    <w:rsid w:val="001B5085"/>
    <w:rsid w:val="001E4D39"/>
    <w:rsid w:val="001F5AE3"/>
    <w:rsid w:val="001F7830"/>
    <w:rsid w:val="00211C26"/>
    <w:rsid w:val="00214688"/>
    <w:rsid w:val="002213CB"/>
    <w:rsid w:val="00240007"/>
    <w:rsid w:val="00246554"/>
    <w:rsid w:val="0025403B"/>
    <w:rsid w:val="00257113"/>
    <w:rsid w:val="00262D25"/>
    <w:rsid w:val="00280160"/>
    <w:rsid w:val="00285D97"/>
    <w:rsid w:val="0028640B"/>
    <w:rsid w:val="00293118"/>
    <w:rsid w:val="0029369A"/>
    <w:rsid w:val="002962A8"/>
    <w:rsid w:val="002A349B"/>
    <w:rsid w:val="002A39F3"/>
    <w:rsid w:val="002C774F"/>
    <w:rsid w:val="002D2040"/>
    <w:rsid w:val="002D4109"/>
    <w:rsid w:val="002D4858"/>
    <w:rsid w:val="002D5ACD"/>
    <w:rsid w:val="002E10C2"/>
    <w:rsid w:val="002E3FF9"/>
    <w:rsid w:val="002F1A3D"/>
    <w:rsid w:val="002F31D0"/>
    <w:rsid w:val="002F4108"/>
    <w:rsid w:val="002F432F"/>
    <w:rsid w:val="00304183"/>
    <w:rsid w:val="003059B5"/>
    <w:rsid w:val="00327CF0"/>
    <w:rsid w:val="0033268D"/>
    <w:rsid w:val="003341DA"/>
    <w:rsid w:val="00335C85"/>
    <w:rsid w:val="0033695B"/>
    <w:rsid w:val="00351B81"/>
    <w:rsid w:val="0035206D"/>
    <w:rsid w:val="0035491C"/>
    <w:rsid w:val="00356E9A"/>
    <w:rsid w:val="00392428"/>
    <w:rsid w:val="0039440A"/>
    <w:rsid w:val="003A01C4"/>
    <w:rsid w:val="003A098B"/>
    <w:rsid w:val="003A5FA9"/>
    <w:rsid w:val="003B10E1"/>
    <w:rsid w:val="003B63BF"/>
    <w:rsid w:val="003C0629"/>
    <w:rsid w:val="003C3B7A"/>
    <w:rsid w:val="003E47EF"/>
    <w:rsid w:val="003E6927"/>
    <w:rsid w:val="003F0398"/>
    <w:rsid w:val="003F33B7"/>
    <w:rsid w:val="00402D47"/>
    <w:rsid w:val="00426E48"/>
    <w:rsid w:val="004350CC"/>
    <w:rsid w:val="00455013"/>
    <w:rsid w:val="0046092E"/>
    <w:rsid w:val="004610E8"/>
    <w:rsid w:val="00465EA4"/>
    <w:rsid w:val="00472C6E"/>
    <w:rsid w:val="004912DE"/>
    <w:rsid w:val="00494EA2"/>
    <w:rsid w:val="004B1FAC"/>
    <w:rsid w:val="004B7410"/>
    <w:rsid w:val="004C4FF2"/>
    <w:rsid w:val="004D76F7"/>
    <w:rsid w:val="004E3A26"/>
    <w:rsid w:val="004E78A9"/>
    <w:rsid w:val="005047F5"/>
    <w:rsid w:val="005049C7"/>
    <w:rsid w:val="005514D8"/>
    <w:rsid w:val="00552816"/>
    <w:rsid w:val="00560950"/>
    <w:rsid w:val="00562B75"/>
    <w:rsid w:val="00567F04"/>
    <w:rsid w:val="005827EC"/>
    <w:rsid w:val="00585B96"/>
    <w:rsid w:val="00594DBA"/>
    <w:rsid w:val="005A4699"/>
    <w:rsid w:val="00603BC3"/>
    <w:rsid w:val="00605D92"/>
    <w:rsid w:val="006205D2"/>
    <w:rsid w:val="00624DF5"/>
    <w:rsid w:val="00627CC4"/>
    <w:rsid w:val="00633DAF"/>
    <w:rsid w:val="00637195"/>
    <w:rsid w:val="00641605"/>
    <w:rsid w:val="00652EBB"/>
    <w:rsid w:val="00673CF4"/>
    <w:rsid w:val="0068137B"/>
    <w:rsid w:val="006834AF"/>
    <w:rsid w:val="006B6E15"/>
    <w:rsid w:val="006C066D"/>
    <w:rsid w:val="006D43A1"/>
    <w:rsid w:val="006E06C3"/>
    <w:rsid w:val="006E0C73"/>
    <w:rsid w:val="006E3012"/>
    <w:rsid w:val="006F7A48"/>
    <w:rsid w:val="00703EF0"/>
    <w:rsid w:val="007101E3"/>
    <w:rsid w:val="00710429"/>
    <w:rsid w:val="00715894"/>
    <w:rsid w:val="007162E0"/>
    <w:rsid w:val="007238F8"/>
    <w:rsid w:val="00736B8D"/>
    <w:rsid w:val="007472DF"/>
    <w:rsid w:val="00750DB1"/>
    <w:rsid w:val="00761EB0"/>
    <w:rsid w:val="00777591"/>
    <w:rsid w:val="00783D52"/>
    <w:rsid w:val="007952D0"/>
    <w:rsid w:val="0079632A"/>
    <w:rsid w:val="007A5202"/>
    <w:rsid w:val="007B147E"/>
    <w:rsid w:val="007C262C"/>
    <w:rsid w:val="007E5E21"/>
    <w:rsid w:val="00810FA9"/>
    <w:rsid w:val="008179CE"/>
    <w:rsid w:val="00822BBD"/>
    <w:rsid w:val="008355A6"/>
    <w:rsid w:val="00840480"/>
    <w:rsid w:val="00842E5D"/>
    <w:rsid w:val="008525E4"/>
    <w:rsid w:val="00857D6E"/>
    <w:rsid w:val="00872DDD"/>
    <w:rsid w:val="00886E6A"/>
    <w:rsid w:val="0089710B"/>
    <w:rsid w:val="008A1242"/>
    <w:rsid w:val="008A3DA7"/>
    <w:rsid w:val="008A6AAF"/>
    <w:rsid w:val="008C06D3"/>
    <w:rsid w:val="008C37E6"/>
    <w:rsid w:val="008D0063"/>
    <w:rsid w:val="008D1487"/>
    <w:rsid w:val="008E0C54"/>
    <w:rsid w:val="008E3247"/>
    <w:rsid w:val="008E3B42"/>
    <w:rsid w:val="00900669"/>
    <w:rsid w:val="00911A26"/>
    <w:rsid w:val="009313A7"/>
    <w:rsid w:val="009428A9"/>
    <w:rsid w:val="009502DD"/>
    <w:rsid w:val="009560BB"/>
    <w:rsid w:val="009561DA"/>
    <w:rsid w:val="00970D38"/>
    <w:rsid w:val="00974617"/>
    <w:rsid w:val="00977146"/>
    <w:rsid w:val="00983C0F"/>
    <w:rsid w:val="00987D1B"/>
    <w:rsid w:val="009B4FCF"/>
    <w:rsid w:val="009B58B6"/>
    <w:rsid w:val="009C7C74"/>
    <w:rsid w:val="009D2BEB"/>
    <w:rsid w:val="009E5EB3"/>
    <w:rsid w:val="009E625D"/>
    <w:rsid w:val="009F5F1F"/>
    <w:rsid w:val="00A0044F"/>
    <w:rsid w:val="00A02B48"/>
    <w:rsid w:val="00A10828"/>
    <w:rsid w:val="00A1539A"/>
    <w:rsid w:val="00A16DCB"/>
    <w:rsid w:val="00A26FE5"/>
    <w:rsid w:val="00A31F56"/>
    <w:rsid w:val="00A47DD5"/>
    <w:rsid w:val="00A50189"/>
    <w:rsid w:val="00A51A91"/>
    <w:rsid w:val="00A54A76"/>
    <w:rsid w:val="00A7176E"/>
    <w:rsid w:val="00A71A45"/>
    <w:rsid w:val="00A731DE"/>
    <w:rsid w:val="00A7576E"/>
    <w:rsid w:val="00A81604"/>
    <w:rsid w:val="00A8594B"/>
    <w:rsid w:val="00A93E38"/>
    <w:rsid w:val="00A945E8"/>
    <w:rsid w:val="00AB48C7"/>
    <w:rsid w:val="00AB4FB4"/>
    <w:rsid w:val="00AB5F35"/>
    <w:rsid w:val="00AD4E4E"/>
    <w:rsid w:val="00AE06D7"/>
    <w:rsid w:val="00AF6968"/>
    <w:rsid w:val="00B02BBD"/>
    <w:rsid w:val="00B05905"/>
    <w:rsid w:val="00B22CEB"/>
    <w:rsid w:val="00B43275"/>
    <w:rsid w:val="00B5159E"/>
    <w:rsid w:val="00B715B1"/>
    <w:rsid w:val="00B82621"/>
    <w:rsid w:val="00B8747E"/>
    <w:rsid w:val="00B9671F"/>
    <w:rsid w:val="00B97258"/>
    <w:rsid w:val="00BA0535"/>
    <w:rsid w:val="00BA6305"/>
    <w:rsid w:val="00BC31EE"/>
    <w:rsid w:val="00BC535B"/>
    <w:rsid w:val="00BC67F6"/>
    <w:rsid w:val="00BC7ED9"/>
    <w:rsid w:val="00BD5879"/>
    <w:rsid w:val="00BE02B1"/>
    <w:rsid w:val="00BE167E"/>
    <w:rsid w:val="00BE5727"/>
    <w:rsid w:val="00BF195D"/>
    <w:rsid w:val="00BF20F8"/>
    <w:rsid w:val="00C108EE"/>
    <w:rsid w:val="00C17178"/>
    <w:rsid w:val="00C26E07"/>
    <w:rsid w:val="00C274B1"/>
    <w:rsid w:val="00C37A2B"/>
    <w:rsid w:val="00C42025"/>
    <w:rsid w:val="00C55AB8"/>
    <w:rsid w:val="00C64DEC"/>
    <w:rsid w:val="00C7353D"/>
    <w:rsid w:val="00C752CC"/>
    <w:rsid w:val="00C82CA2"/>
    <w:rsid w:val="00C96C06"/>
    <w:rsid w:val="00CA2482"/>
    <w:rsid w:val="00CA6166"/>
    <w:rsid w:val="00CA6198"/>
    <w:rsid w:val="00CA75C7"/>
    <w:rsid w:val="00CA7CFD"/>
    <w:rsid w:val="00CF27A6"/>
    <w:rsid w:val="00D00A94"/>
    <w:rsid w:val="00D03C1D"/>
    <w:rsid w:val="00D1528A"/>
    <w:rsid w:val="00D157DB"/>
    <w:rsid w:val="00D20B94"/>
    <w:rsid w:val="00D22AA0"/>
    <w:rsid w:val="00D25B44"/>
    <w:rsid w:val="00D32BD8"/>
    <w:rsid w:val="00D3465C"/>
    <w:rsid w:val="00D41D86"/>
    <w:rsid w:val="00D437BF"/>
    <w:rsid w:val="00D44255"/>
    <w:rsid w:val="00D56169"/>
    <w:rsid w:val="00D65B8D"/>
    <w:rsid w:val="00D7017A"/>
    <w:rsid w:val="00D71A5E"/>
    <w:rsid w:val="00D72ED9"/>
    <w:rsid w:val="00D84ADB"/>
    <w:rsid w:val="00D84C4B"/>
    <w:rsid w:val="00DA043F"/>
    <w:rsid w:val="00DB5642"/>
    <w:rsid w:val="00DB6B34"/>
    <w:rsid w:val="00DB74BC"/>
    <w:rsid w:val="00DC63C8"/>
    <w:rsid w:val="00DD7C9A"/>
    <w:rsid w:val="00DF208A"/>
    <w:rsid w:val="00DF7584"/>
    <w:rsid w:val="00E00790"/>
    <w:rsid w:val="00E15C3B"/>
    <w:rsid w:val="00E17CE0"/>
    <w:rsid w:val="00E23BBF"/>
    <w:rsid w:val="00E50C24"/>
    <w:rsid w:val="00E513B3"/>
    <w:rsid w:val="00E53C2B"/>
    <w:rsid w:val="00E62112"/>
    <w:rsid w:val="00E66AC6"/>
    <w:rsid w:val="00E76432"/>
    <w:rsid w:val="00E82EDD"/>
    <w:rsid w:val="00E90474"/>
    <w:rsid w:val="00EA22ED"/>
    <w:rsid w:val="00EB5F72"/>
    <w:rsid w:val="00EE70C4"/>
    <w:rsid w:val="00EF09E1"/>
    <w:rsid w:val="00F11610"/>
    <w:rsid w:val="00F13A76"/>
    <w:rsid w:val="00F14327"/>
    <w:rsid w:val="00F22DE4"/>
    <w:rsid w:val="00F30519"/>
    <w:rsid w:val="00F43670"/>
    <w:rsid w:val="00F61CB9"/>
    <w:rsid w:val="00F70D34"/>
    <w:rsid w:val="00F807E4"/>
    <w:rsid w:val="00F825CD"/>
    <w:rsid w:val="00F92539"/>
    <w:rsid w:val="00F96A56"/>
    <w:rsid w:val="00FB1B4B"/>
    <w:rsid w:val="00FB20C5"/>
    <w:rsid w:val="00FB38EE"/>
    <w:rsid w:val="00FB48CC"/>
    <w:rsid w:val="00FD0729"/>
    <w:rsid w:val="00FD26CB"/>
    <w:rsid w:val="00FD4D3A"/>
    <w:rsid w:val="00FD58A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6F5F292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214688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  <w:style w:type="character" w:styleId="Emphasis">
    <w:name w:val="Emphasis"/>
    <w:basedOn w:val="DefaultParagraphFont"/>
    <w:uiPriority w:val="20"/>
    <w:qFormat/>
    <w:rsid w:val="00F825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28E39F-B2BC-4EEC-8E71-47C2AB882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443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17</cp:revision>
  <cp:lastPrinted>2017-09-20T12:25:00Z</cp:lastPrinted>
  <dcterms:created xsi:type="dcterms:W3CDTF">2021-11-12T11:31:00Z</dcterms:created>
  <dcterms:modified xsi:type="dcterms:W3CDTF">2023-05-26T10:40:00Z</dcterms:modified>
</cp:coreProperties>
</file>