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5A8134E8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17.05.2023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24CA5" w14:paraId="10C82200" w14:textId="56C28D2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30200" w:rsidR="00B24CA5">
              <w:rPr>
                <w:bCs/>
                <w:sz w:val="24"/>
                <w:lang w:val="lv-LV"/>
              </w:rPr>
              <w:t>Bērnu dienas nometne “Mazie detektīvi”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24CA5" w14:paraId="1FA73AAE" w14:textId="09BBAE7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="00434AE3">
              <w:rPr>
                <w:b/>
                <w:sz w:val="24"/>
                <w:lang w:val="lv-LV"/>
              </w:rPr>
              <w:t xml:space="preserve"> </w:t>
            </w:r>
            <w:r w:rsidR="00B24CA5">
              <w:rPr>
                <w:sz w:val="24"/>
                <w:lang w:val="lv-LV"/>
              </w:rPr>
              <w:t xml:space="preserve">Jūrmalas Ķemeru pamatskola, reģistrācijas apliecības Nr. </w:t>
            </w:r>
            <w:r w:rsidRPr="00530200" w:rsidR="00B24CA5">
              <w:rPr>
                <w:sz w:val="24"/>
                <w:lang w:val="lv-LV"/>
              </w:rPr>
              <w:t>2912903110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24CA5" w14:paraId="544EB51A" w14:textId="001FEE4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24CA5">
              <w:rPr>
                <w:sz w:val="24"/>
                <w:lang w:val="lv-LV"/>
              </w:rPr>
              <w:t>Tukuma iela 10, Jūrmala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B24CA5" w14:paraId="471C295C" w14:textId="7FEBAB1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24CA5">
              <w:rPr>
                <w:sz w:val="24"/>
                <w:lang w:val="lv-LV"/>
              </w:rPr>
              <w:t>10.05.2023. vides veselības analītiķe Jeļena Gorjačeva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B24CA5" w14:paraId="206DEBF6" w14:textId="4FE06C6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97CA9" w:rsidR="00B24CA5">
              <w:rPr>
                <w:sz w:val="24"/>
                <w:lang w:val="lv-LV"/>
              </w:rPr>
              <w:t xml:space="preserve">direktora vietniece </w:t>
            </w:r>
            <w:r w:rsidRPr="00434AE3" w:rsidR="00434AE3">
              <w:rPr>
                <w:sz w:val="24"/>
                <w:lang w:val="lv-LV"/>
              </w:rPr>
              <w:t xml:space="preserve">saimnieciskajā darbā </w:t>
            </w:r>
            <w:r w:rsidRPr="00997CA9" w:rsidR="00B24CA5">
              <w:rPr>
                <w:sz w:val="24"/>
                <w:lang w:val="lv-LV"/>
              </w:rPr>
              <w:t>Regīna Kovaļova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7CADFD07" w14:textId="455E0CD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B24CA5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D473EF" w:rsidP="00D473EF" w14:paraId="7AC24285" w14:textId="43E7EE4C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sz w:val="24"/>
                <w:lang w:val="lv-LV"/>
              </w:rPr>
            </w:pPr>
            <w:r w:rsidRPr="00530200">
              <w:rPr>
                <w:bCs/>
                <w:sz w:val="24"/>
                <w:lang w:val="lv-LV"/>
              </w:rPr>
              <w:t>Bērnu dienas nometne “Mazie detektīvi”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CA4A9C">
              <w:rPr>
                <w:bCs/>
                <w:sz w:val="24"/>
                <w:lang w:val="lv-LV"/>
              </w:rPr>
              <w:t>sāksies</w:t>
            </w:r>
            <w:r>
              <w:rPr>
                <w:bCs/>
                <w:sz w:val="24"/>
                <w:lang w:val="lv-LV"/>
              </w:rPr>
              <w:t xml:space="preserve"> 05.06.2023. </w:t>
            </w:r>
            <w:r w:rsidR="00CA4A9C">
              <w:rPr>
                <w:bCs/>
                <w:sz w:val="24"/>
                <w:lang w:val="lv-LV"/>
              </w:rPr>
              <w:t xml:space="preserve">un ilgs līdz </w:t>
            </w:r>
            <w:r>
              <w:rPr>
                <w:bCs/>
                <w:sz w:val="24"/>
                <w:lang w:val="lv-LV"/>
              </w:rPr>
              <w:t>16.06.2023. Jūrmalas Ķemeru pamatskolas telpās, Ķemeru ielā 10, Jūrmalā</w:t>
            </w:r>
            <w:r w:rsidR="00CA4A9C">
              <w:rPr>
                <w:bCs/>
                <w:sz w:val="24"/>
                <w:lang w:val="lv-LV"/>
              </w:rPr>
              <w:t>. Kopējai</w:t>
            </w:r>
            <w:r w:rsidR="00F03D2A">
              <w:rPr>
                <w:bCs/>
                <w:sz w:val="24"/>
                <w:lang w:val="lv-LV"/>
              </w:rPr>
              <w:t>s</w:t>
            </w:r>
            <w:r w:rsidR="00CA4A9C">
              <w:rPr>
                <w:bCs/>
                <w:sz w:val="24"/>
                <w:lang w:val="lv-LV"/>
              </w:rPr>
              <w:t xml:space="preserve"> dalībnieku skaits ir 35 bērni</w:t>
            </w:r>
            <w:r w:rsidR="00434AE3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vecumā no 7 līdz 11 gadiem. D</w:t>
            </w:r>
            <w:r w:rsidRPr="0088746B">
              <w:rPr>
                <w:sz w:val="24"/>
                <w:lang w:val="lv-LV"/>
              </w:rPr>
              <w:t>alībnieki tiks sadalīti</w:t>
            </w:r>
            <w:r w:rsidR="00CA4A9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3 </w:t>
            </w:r>
            <w:r w:rsidRPr="0088746B">
              <w:rPr>
                <w:sz w:val="24"/>
                <w:lang w:val="lv-LV"/>
              </w:rPr>
              <w:t>grupās</w:t>
            </w:r>
            <w:r>
              <w:rPr>
                <w:sz w:val="24"/>
                <w:lang w:val="lv-LV"/>
              </w:rPr>
              <w:t>.</w:t>
            </w:r>
            <w:r w:rsidR="00E35449">
              <w:rPr>
                <w:sz w:val="24"/>
                <w:lang w:val="lv-LV"/>
              </w:rPr>
              <w:t xml:space="preserve"> </w:t>
            </w:r>
            <w:r w:rsidR="00117BFB">
              <w:rPr>
                <w:sz w:val="24"/>
                <w:lang w:val="lv-LV"/>
              </w:rPr>
              <w:t xml:space="preserve">Nometnes darba laiks no plkst. 08.50 līdz plkst. 15.00. </w:t>
            </w:r>
            <w:r w:rsidR="000D09C1">
              <w:rPr>
                <w:sz w:val="24"/>
                <w:lang w:val="lv-LV"/>
              </w:rPr>
              <w:t>Katrai dienai paredzēta sava tēma, dalībnieki meklēs atbildes uz dažādiem jautājumiem. Bērni dosies ekskursijās un pārgājienos.</w:t>
            </w:r>
          </w:p>
          <w:p w:rsidR="006E09E8" w:rsidRPr="006E09E8" w:rsidP="00D473EF" w14:paraId="52F11AD8" w14:textId="3BEECB53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sz w:val="24"/>
                <w:lang w:val="lv-LV"/>
              </w:rPr>
            </w:pPr>
            <w:r w:rsidRPr="00067D79">
              <w:rPr>
                <w:sz w:val="24"/>
                <w:lang w:val="lv-LV"/>
              </w:rPr>
              <w:t>No</w:t>
            </w:r>
            <w:r>
              <w:rPr>
                <w:sz w:val="24"/>
                <w:lang w:val="lv-LV"/>
              </w:rPr>
              <w:t>metnes vajadzībām tiks izmantotas</w:t>
            </w:r>
            <w:r w:rsidR="007B7144">
              <w:rPr>
                <w:sz w:val="24"/>
                <w:lang w:val="lv-LV"/>
              </w:rPr>
              <w:t xml:space="preserve"> </w:t>
            </w:r>
            <w:r w:rsidR="00335C42">
              <w:rPr>
                <w:sz w:val="24"/>
                <w:lang w:val="lv-LV"/>
              </w:rPr>
              <w:t>telpas Nr. 104 ( 2.klase), Nr. 205 (1.klase), Nr. 204</w:t>
            </w:r>
            <w:r w:rsidR="000D09C1">
              <w:rPr>
                <w:sz w:val="24"/>
                <w:lang w:val="lv-LV"/>
              </w:rPr>
              <w:t xml:space="preserve">                 </w:t>
            </w:r>
            <w:r w:rsidR="00335C42">
              <w:rPr>
                <w:sz w:val="24"/>
                <w:lang w:val="lv-LV"/>
              </w:rPr>
              <w:t xml:space="preserve"> ( aula), </w:t>
            </w:r>
            <w:r>
              <w:rPr>
                <w:sz w:val="24"/>
                <w:lang w:val="lv-LV"/>
              </w:rPr>
              <w:t>kā arī sporta zāle un ģērbtuves. M</w:t>
            </w:r>
            <w:r w:rsidRPr="00094E6C">
              <w:rPr>
                <w:sz w:val="24"/>
                <w:lang w:val="lv-LV"/>
              </w:rPr>
              <w:t>ācību telpas aprīkotas ar</w:t>
            </w:r>
            <w:r>
              <w:rPr>
                <w:sz w:val="24"/>
                <w:lang w:val="lv-LV"/>
              </w:rPr>
              <w:t xml:space="preserve"> </w:t>
            </w:r>
            <w:r w:rsidRPr="00094E6C">
              <w:rPr>
                <w:sz w:val="24"/>
                <w:lang w:val="lv-LV"/>
              </w:rPr>
              <w:t>darba galdiem</w:t>
            </w:r>
            <w:r>
              <w:rPr>
                <w:sz w:val="24"/>
                <w:lang w:val="lv-LV"/>
              </w:rPr>
              <w:t xml:space="preserve"> un </w:t>
            </w:r>
            <w:r w:rsidRPr="00094E6C">
              <w:rPr>
                <w:sz w:val="24"/>
                <w:lang w:val="lv-LV"/>
              </w:rPr>
              <w:t>mēbelēm</w:t>
            </w:r>
            <w:r>
              <w:rPr>
                <w:sz w:val="24"/>
                <w:lang w:val="lv-LV"/>
              </w:rPr>
              <w:t xml:space="preserve">. </w:t>
            </w:r>
            <w:r w:rsidR="00E35449">
              <w:rPr>
                <w:sz w:val="24"/>
                <w:lang w:val="lv-LV"/>
              </w:rPr>
              <w:t>Ēkā i</w:t>
            </w:r>
            <w:r>
              <w:rPr>
                <w:sz w:val="24"/>
                <w:lang w:val="lv-LV"/>
              </w:rPr>
              <w:t>r</w:t>
            </w:r>
            <w:r w:rsidRPr="00CB16C9">
              <w:rPr>
                <w:sz w:val="24"/>
                <w:lang w:val="lv-LV"/>
              </w:rPr>
              <w:t xml:space="preserve"> pieejamas katram dzimumam atsevišķas tualetes</w:t>
            </w:r>
            <w:r>
              <w:rPr>
                <w:sz w:val="24"/>
                <w:lang w:val="lv-LV"/>
              </w:rPr>
              <w:t xml:space="preserve"> telpas. </w:t>
            </w:r>
            <w:r w:rsidR="00D473EF">
              <w:rPr>
                <w:sz w:val="24"/>
                <w:lang w:val="lv-LV"/>
              </w:rPr>
              <w:t>Personīgās higiēnas ievērošanas apstākļi ir nodrošināti.</w:t>
            </w:r>
            <w:r w:rsidR="000D09C1">
              <w:rPr>
                <w:sz w:val="24"/>
                <w:lang w:val="lv-LV"/>
              </w:rPr>
              <w:t xml:space="preserve"> Sanitārās ierīces darba kārtībā. </w:t>
            </w:r>
          </w:p>
          <w:p w:rsidR="00800AE0" w:rsidRPr="00E23BBF" w:rsidP="006E09E8" w14:paraId="5B6075B1" w14:textId="7CF8377A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i/>
                <w:sz w:val="24"/>
                <w:lang w:val="lv-LV"/>
              </w:rPr>
            </w:pPr>
            <w:r>
              <w:rPr>
                <w:sz w:val="24"/>
                <w:lang w:val="lv-LV"/>
              </w:rPr>
              <w:t>Medicīniskos pakalpojumus nodrošinās skolas medmāsa</w:t>
            </w:r>
            <w:r w:rsidR="00117BFB">
              <w:rPr>
                <w:sz w:val="24"/>
                <w:lang w:val="lv-LV"/>
              </w:rPr>
              <w:t xml:space="preserve"> Svetlana Diordijeva. </w:t>
            </w:r>
            <w:r>
              <w:rPr>
                <w:sz w:val="24"/>
                <w:lang w:val="lv-LV"/>
              </w:rPr>
              <w:t xml:space="preserve">Nometnes </w:t>
            </w:r>
            <w:r w:rsidR="00D473EF">
              <w:rPr>
                <w:sz w:val="24"/>
                <w:lang w:val="lv-LV"/>
              </w:rPr>
              <w:t xml:space="preserve">vadītāja – Inga </w:t>
            </w:r>
            <w:r w:rsidRPr="00D473EF" w:rsidR="00D473EF">
              <w:rPr>
                <w:sz w:val="24"/>
                <w:lang w:val="lv-LV"/>
              </w:rPr>
              <w:t>Stāde</w:t>
            </w:r>
            <w:r w:rsidR="00D473EF">
              <w:rPr>
                <w:sz w:val="24"/>
                <w:lang w:val="lv-LV"/>
              </w:rPr>
              <w:t xml:space="preserve">, apliecības Nr. </w:t>
            </w:r>
            <w:r w:rsidRPr="00D473EF" w:rsidR="00D473EF">
              <w:rPr>
                <w:sz w:val="24"/>
                <w:lang w:val="lv-LV"/>
              </w:rPr>
              <w:t>113-00043</w:t>
            </w:r>
            <w:r w:rsidR="00D473EF">
              <w:rPr>
                <w:sz w:val="24"/>
                <w:lang w:val="lv-LV"/>
              </w:rPr>
              <w:t xml:space="preserve">. 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31138F" w:rsidP="0031138F" w14:paraId="66B8D08C" w14:textId="6E4BAEBE">
            <w:pPr>
              <w:overflowPunct/>
              <w:autoSpaceDE/>
              <w:adjustRightInd/>
              <w:ind w:right="6" w:firstLine="207"/>
              <w:rPr>
                <w:bCs/>
                <w:sz w:val="24"/>
                <w:lang w:val="lv-LV"/>
              </w:rPr>
            </w:pPr>
            <w:r w:rsidRPr="00281328">
              <w:rPr>
                <w:bCs/>
                <w:sz w:val="24"/>
                <w:lang w:val="lv-LV"/>
              </w:rPr>
              <w:t xml:space="preserve">Atbilst telpu funkcijai. 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31138F" w:rsidP="0031138F" w14:paraId="68864F6D" w14:textId="3CE1F807">
            <w:pPr>
              <w:overflowPunct/>
              <w:autoSpaceDE/>
              <w:adjustRightInd/>
              <w:ind w:right="6" w:firstLine="202"/>
              <w:rPr>
                <w:bCs/>
                <w:sz w:val="24"/>
                <w:lang w:val="lv-LV"/>
              </w:rPr>
            </w:pPr>
            <w:r w:rsidRPr="0031138F">
              <w:rPr>
                <w:bCs/>
                <w:sz w:val="24"/>
                <w:lang w:val="lv-LV"/>
              </w:rPr>
              <w:t>Mācību telpās ir dabiskais un mākslīgais apgaismojums.</w:t>
            </w:r>
            <w:r w:rsidR="00800AE0">
              <w:rPr>
                <w:bCs/>
                <w:sz w:val="24"/>
                <w:lang w:val="lv-LV"/>
              </w:rPr>
              <w:t xml:space="preserve"> 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31138F" w:rsidP="0031138F" w14:paraId="2317B982" w14:textId="5FD8D35F">
            <w:pPr>
              <w:overflowPunct/>
              <w:autoSpaceDE/>
              <w:adjustRightInd/>
              <w:ind w:right="6" w:firstLine="202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Centralizētā.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31138F" w:rsidP="0031138F" w14:paraId="0E08E015" w14:textId="1D459AAB">
            <w:pPr>
              <w:overflowPunct/>
              <w:autoSpaceDE/>
              <w:adjustRightInd/>
              <w:ind w:right="6" w:firstLine="202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T</w:t>
            </w:r>
            <w:r w:rsidRPr="0031138F" w:rsidR="0031138F">
              <w:rPr>
                <w:bCs/>
                <w:sz w:val="24"/>
                <w:lang w:val="lv-LV"/>
              </w:rPr>
              <w:t xml:space="preserve">elpās </w:t>
            </w:r>
            <w:r w:rsidR="0031138F">
              <w:rPr>
                <w:bCs/>
                <w:sz w:val="24"/>
                <w:szCs w:val="20"/>
                <w:lang w:val="lv-LV"/>
              </w:rPr>
              <w:t>-</w:t>
            </w:r>
            <w:r w:rsidRPr="004A3A4E" w:rsidR="0031138F">
              <w:rPr>
                <w:bCs/>
                <w:sz w:val="24"/>
                <w:szCs w:val="20"/>
                <w:lang w:val="lv-LV"/>
              </w:rPr>
              <w:t xml:space="preserve"> dabiskā </w:t>
            </w:r>
            <w:r w:rsidR="0031138F">
              <w:rPr>
                <w:bCs/>
                <w:sz w:val="24"/>
                <w:szCs w:val="20"/>
                <w:lang w:val="lv-LV"/>
              </w:rPr>
              <w:t>un</w:t>
            </w:r>
            <w:r w:rsidR="007B7144">
              <w:rPr>
                <w:bCs/>
                <w:sz w:val="24"/>
                <w:szCs w:val="20"/>
                <w:lang w:val="lv-LV"/>
              </w:rPr>
              <w:t xml:space="preserve"> mehāniskā</w:t>
            </w:r>
            <w:r w:rsidR="0031138F">
              <w:rPr>
                <w:bCs/>
                <w:sz w:val="24"/>
                <w:szCs w:val="20"/>
                <w:lang w:val="lv-LV"/>
              </w:rPr>
              <w:t xml:space="preserve"> </w:t>
            </w:r>
            <w:r w:rsidRPr="004A3A4E" w:rsidR="0031138F">
              <w:rPr>
                <w:bCs/>
                <w:sz w:val="24"/>
                <w:szCs w:val="20"/>
                <w:lang w:val="lv-LV"/>
              </w:rPr>
              <w:t>pieplūdes/nosūces ventilācijas sistēma</w:t>
            </w:r>
            <w:r w:rsidR="0031138F">
              <w:rPr>
                <w:bCs/>
                <w:sz w:val="24"/>
                <w:szCs w:val="20"/>
                <w:lang w:val="lv-LV"/>
              </w:rPr>
              <w:t>s</w:t>
            </w:r>
            <w:r w:rsidR="00947D18">
              <w:rPr>
                <w:bCs/>
                <w:sz w:val="24"/>
                <w:szCs w:val="20"/>
                <w:lang w:val="lv-LV"/>
              </w:rPr>
              <w:t>. Sanitārajos mezglos</w:t>
            </w:r>
            <w:r w:rsidR="007B7144">
              <w:rPr>
                <w:bCs/>
                <w:sz w:val="24"/>
                <w:szCs w:val="20"/>
                <w:lang w:val="lv-LV"/>
              </w:rPr>
              <w:t xml:space="preserve"> </w:t>
            </w:r>
            <w:r w:rsidR="00947D18">
              <w:rPr>
                <w:bCs/>
                <w:sz w:val="24"/>
                <w:szCs w:val="20"/>
                <w:lang w:val="lv-LV"/>
              </w:rPr>
              <w:t xml:space="preserve">- piespiedu nosūces ventilācija.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31138F" w14:paraId="31CCAC57" w14:textId="7FB0D3DB">
            <w:pPr>
              <w:overflowPunct/>
              <w:autoSpaceDE/>
              <w:adjustRightInd/>
              <w:ind w:right="6" w:firstLine="202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ūdensapgādes tīkliem.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1138F" w14:paraId="552839FA" w14:textId="6B324FC5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Pieslēgums 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800AE0" w:rsidP="00800AE0" w14:paraId="0D0D7281" w14:textId="26B6E7DE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iCs/>
                <w:spacing w:val="-2"/>
                <w:sz w:val="24"/>
                <w:lang w:val="lv-LV"/>
              </w:rPr>
            </w:pPr>
            <w:r w:rsidRPr="00800AE0">
              <w:rPr>
                <w:iCs/>
                <w:spacing w:val="-2"/>
                <w:sz w:val="24"/>
                <w:lang w:val="lv-LV"/>
              </w:rPr>
              <w:t>Apkārtējā teritorija ir labiekārtota.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800AE0" w14:paraId="4CC9490E" w14:textId="352A038F">
            <w:pPr>
              <w:overflowPunct/>
              <w:autoSpaceDE/>
              <w:adjustRightInd/>
              <w:ind w:right="6" w:firstLine="202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U</w:t>
            </w:r>
            <w:r w:rsidRPr="00800AE0">
              <w:rPr>
                <w:spacing w:val="-2"/>
                <w:sz w:val="24"/>
                <w:lang w:val="lv-LV"/>
              </w:rPr>
              <w:t>zbūvēts panduss pie ieejas skolā</w:t>
            </w:r>
            <w:r>
              <w:rPr>
                <w:spacing w:val="-2"/>
                <w:sz w:val="24"/>
                <w:lang w:val="lv-LV"/>
              </w:rPr>
              <w:t xml:space="preserve"> no pagalma puses, </w:t>
            </w:r>
            <w:r w:rsidRPr="00800AE0">
              <w:rPr>
                <w:spacing w:val="-2"/>
                <w:sz w:val="24"/>
                <w:lang w:val="lv-LV"/>
              </w:rPr>
              <w:t>kā arī pirmajā stāvā izveidota vides pieejamībai atbilstoša tualete.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00AE0" w14:paraId="3B486C9D" w14:textId="6C1FC565">
            <w:pPr>
              <w:tabs>
                <w:tab w:val="left" w:pos="993"/>
              </w:tabs>
              <w:ind w:firstLine="20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31138F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800AE0" w14:paraId="1D8A1C08" w14:textId="60459920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bCs/>
                <w:sz w:val="24"/>
                <w:lang w:val="lv-LV"/>
              </w:rPr>
              <w:t>Bērnu dienas nometne “</w:t>
            </w:r>
            <w:r w:rsidRPr="00530200">
              <w:rPr>
                <w:bCs/>
                <w:sz w:val="24"/>
                <w:lang w:val="lv-LV"/>
              </w:rPr>
              <w:t>Mazie detektīvi</w:t>
            </w:r>
            <w:r w:rsidRPr="004E4D4C">
              <w:rPr>
                <w:bCs/>
                <w:sz w:val="24"/>
                <w:lang w:val="lv-LV"/>
              </w:rPr>
              <w:t>”</w:t>
            </w:r>
            <w:r w:rsidR="00F03D2A"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Tukuma ielā 10, Jūrmalā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00AE0" w:rsidRPr="00D32BD8" w:rsidP="00800AE0" w14:paraId="3C814D92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800AE0" w:rsidP="00800AE0" w14:paraId="4789A6C4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2F4108" w:rsidP="00117BFB" w14:paraId="6748A046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 w:rsidR="00800AE0">
              <w:rPr>
                <w:sz w:val="24"/>
                <w:lang w:val="lv-LV"/>
              </w:rPr>
              <w:t>Ministru</w:t>
            </w:r>
            <w:r w:rsidR="00800AE0">
              <w:rPr>
                <w:sz w:val="24"/>
                <w:lang w:val="lv-LV"/>
              </w:rPr>
              <w:t xml:space="preserve"> kabineta 28.09.2021. noteikumus</w:t>
            </w:r>
            <w:r w:rsidRPr="008E3247" w:rsidR="00800AE0">
              <w:rPr>
                <w:sz w:val="24"/>
                <w:lang w:val="lv-LV"/>
              </w:rPr>
              <w:t xml:space="preserve"> Nr. 662 „Epidemiol</w:t>
            </w:r>
            <w:r w:rsidR="00800AE0">
              <w:rPr>
                <w:sz w:val="24"/>
                <w:lang w:val="lv-LV"/>
              </w:rPr>
              <w:t>oģiskās drošības pasākumi Covid</w:t>
            </w:r>
            <w:r w:rsidRPr="008E3247" w:rsidR="00800AE0">
              <w:rPr>
                <w:sz w:val="24"/>
                <w:lang w:val="lv-LV"/>
              </w:rPr>
              <w:t>-19 infekcijas izplatības ierobežošanai”, 01.09.2009. noteikumu</w:t>
            </w:r>
            <w:r w:rsidR="00800AE0">
              <w:rPr>
                <w:sz w:val="24"/>
                <w:lang w:val="lv-LV"/>
              </w:rPr>
              <w:t>s</w:t>
            </w:r>
            <w:r w:rsidRPr="008E3247" w:rsidR="00800AE0">
              <w:rPr>
                <w:sz w:val="24"/>
                <w:lang w:val="lv-LV"/>
              </w:rPr>
              <w:t xml:space="preserve"> Nr. 981 „Bērnu nometņu organizēšanas un darbības kārtība”</w:t>
            </w:r>
            <w:r w:rsidR="00800AE0">
              <w:rPr>
                <w:sz w:val="24"/>
                <w:lang w:val="lv-LV"/>
              </w:rPr>
              <w:t xml:space="preserve"> prasības</w:t>
            </w:r>
            <w:r w:rsidRPr="008E3247" w:rsidR="00800AE0">
              <w:rPr>
                <w:sz w:val="24"/>
                <w:lang w:val="lv-LV"/>
              </w:rPr>
              <w:t>, kā arī pretepidēmiskā režīma ievērošanu un</w:t>
            </w:r>
            <w:r w:rsidRPr="00673CF4" w:rsidR="00800AE0">
              <w:rPr>
                <w:sz w:val="24"/>
                <w:lang w:val="lv-LV"/>
              </w:rPr>
              <w:t xml:space="preserve"> bērnu veselībai drošu vidi</w:t>
            </w:r>
            <w:r w:rsidR="006F0C47">
              <w:rPr>
                <w:sz w:val="24"/>
                <w:lang w:val="lv-LV"/>
              </w:rPr>
              <w:t>;</w:t>
            </w:r>
          </w:p>
          <w:p w:rsidR="006F0C47" w:rsidRPr="00402D47" w:rsidP="006F0C47" w14:paraId="65BF600B" w14:textId="4F04F486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5C97B96E" w14:textId="77777777" w:rsidTr="00800AE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00AE0" w:rsidP="00CA6906" w14:paraId="5D8B0F74" w14:textId="77777777">
            <w:pPr>
              <w:rPr>
                <w:sz w:val="24"/>
                <w:lang w:val="lv-LV"/>
              </w:rPr>
            </w:pPr>
          </w:p>
          <w:p w:rsidR="00800AE0" w:rsidP="00CA6906" w14:paraId="3ADCB918" w14:textId="77777777">
            <w:pPr>
              <w:rPr>
                <w:sz w:val="24"/>
                <w:lang w:val="lv-LV"/>
              </w:rPr>
            </w:pPr>
          </w:p>
          <w:p w:rsidR="00800AE0" w:rsidP="00CA6906" w14:paraId="40B5B366" w14:textId="77777777">
            <w:pPr>
              <w:ind w:hanging="108"/>
              <w:rPr>
                <w:sz w:val="24"/>
                <w:lang w:val="lv-LV"/>
              </w:rPr>
            </w:pPr>
          </w:p>
          <w:p w:rsidR="00800AE0" w:rsidRPr="005047F5" w:rsidP="00CA6906" w14:paraId="15B01631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00AE0" w:rsidRPr="008A3DA7" w:rsidP="00CA6906" w14:paraId="1F5009E1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0DCE2D9E" w14:textId="77777777" w:rsidTr="00800AE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00AE0" w:rsidRPr="008A3DA7" w:rsidP="00CA6906" w14:paraId="43B18FBF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00AE0" w:rsidRPr="008A3DA7" w:rsidP="00CA6906" w14:paraId="0DE4639D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795B409D" w14:textId="77777777" w:rsidTr="00800AE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00AE0" w:rsidP="00CA6906" w14:paraId="39B8C6FD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800AE0" w:rsidP="00CA6906" w14:paraId="00B6A16B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800AE0" w:rsidRPr="00B715B1" w:rsidP="00800AE0" w14:paraId="3CCAB076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800AE0" w:rsidP="00800AE0" w14:paraId="46E073C3" w14:textId="77777777">
      <w:pPr>
        <w:rPr>
          <w:sz w:val="24"/>
          <w:lang w:val="lv-LV"/>
        </w:rPr>
      </w:pPr>
    </w:p>
    <w:p w:rsidR="00800AE0" w:rsidRPr="00B715B1" w:rsidP="00800AE0" w14:paraId="2BC5D1F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365F51C1" w14:textId="77777777" w:rsidTr="00CA6906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00AE0" w:rsidRPr="00B05905" w:rsidP="00CA6906" w14:paraId="5F14A734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297960BF" w14:textId="77777777" w:rsidTr="00CA6906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00AE0" w:rsidRPr="00B05905" w:rsidP="00CA6906" w14:paraId="01D0271E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47D1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D5B03E8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17.05.2023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2.4.5.-8/238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67D79"/>
    <w:rsid w:val="00082050"/>
    <w:rsid w:val="00083D68"/>
    <w:rsid w:val="00094E6C"/>
    <w:rsid w:val="000964F0"/>
    <w:rsid w:val="0009799A"/>
    <w:rsid w:val="000A19D0"/>
    <w:rsid w:val="000A4BD0"/>
    <w:rsid w:val="000A7FF6"/>
    <w:rsid w:val="000C05D2"/>
    <w:rsid w:val="000D09C1"/>
    <w:rsid w:val="000D509E"/>
    <w:rsid w:val="00104812"/>
    <w:rsid w:val="00106D19"/>
    <w:rsid w:val="0011454A"/>
    <w:rsid w:val="00114A2B"/>
    <w:rsid w:val="00115CB8"/>
    <w:rsid w:val="00117BFB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2480A"/>
    <w:rsid w:val="00240007"/>
    <w:rsid w:val="00246554"/>
    <w:rsid w:val="0025403B"/>
    <w:rsid w:val="00257113"/>
    <w:rsid w:val="00262D25"/>
    <w:rsid w:val="00280160"/>
    <w:rsid w:val="00281328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138F"/>
    <w:rsid w:val="00327CF0"/>
    <w:rsid w:val="0033268D"/>
    <w:rsid w:val="003341DA"/>
    <w:rsid w:val="00335C42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34AE3"/>
    <w:rsid w:val="00455013"/>
    <w:rsid w:val="0046092E"/>
    <w:rsid w:val="004610E8"/>
    <w:rsid w:val="00465EA4"/>
    <w:rsid w:val="00472C6E"/>
    <w:rsid w:val="004912DE"/>
    <w:rsid w:val="00494EA2"/>
    <w:rsid w:val="004A3A4E"/>
    <w:rsid w:val="004B1FAC"/>
    <w:rsid w:val="004B7410"/>
    <w:rsid w:val="004C4FF2"/>
    <w:rsid w:val="004D76F7"/>
    <w:rsid w:val="004E3A26"/>
    <w:rsid w:val="004E4D4C"/>
    <w:rsid w:val="004E78A9"/>
    <w:rsid w:val="004F723C"/>
    <w:rsid w:val="005047F5"/>
    <w:rsid w:val="005049C7"/>
    <w:rsid w:val="00530200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BB"/>
    <w:rsid w:val="00673CF4"/>
    <w:rsid w:val="0068137B"/>
    <w:rsid w:val="006834AF"/>
    <w:rsid w:val="006B6E15"/>
    <w:rsid w:val="006C066D"/>
    <w:rsid w:val="006D43A1"/>
    <w:rsid w:val="006E06C3"/>
    <w:rsid w:val="006E09E8"/>
    <w:rsid w:val="006E0C73"/>
    <w:rsid w:val="006E3012"/>
    <w:rsid w:val="006F0C47"/>
    <w:rsid w:val="006F7A48"/>
    <w:rsid w:val="00702AAF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B7144"/>
    <w:rsid w:val="007C262C"/>
    <w:rsid w:val="007E5E21"/>
    <w:rsid w:val="00800AE0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76CBE"/>
    <w:rsid w:val="0088746B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12EEE"/>
    <w:rsid w:val="009313A7"/>
    <w:rsid w:val="009344FA"/>
    <w:rsid w:val="009428A9"/>
    <w:rsid w:val="00947D18"/>
    <w:rsid w:val="009502DD"/>
    <w:rsid w:val="00954C8C"/>
    <w:rsid w:val="009560BB"/>
    <w:rsid w:val="009561DA"/>
    <w:rsid w:val="00970D38"/>
    <w:rsid w:val="00974617"/>
    <w:rsid w:val="00977146"/>
    <w:rsid w:val="00983C0F"/>
    <w:rsid w:val="00987D1B"/>
    <w:rsid w:val="00997CA9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5905"/>
    <w:rsid w:val="00B22CEB"/>
    <w:rsid w:val="00B24CA5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4A9C"/>
    <w:rsid w:val="00CA6166"/>
    <w:rsid w:val="00CA6198"/>
    <w:rsid w:val="00CA6906"/>
    <w:rsid w:val="00CA75C7"/>
    <w:rsid w:val="00CA7CFD"/>
    <w:rsid w:val="00CB16C9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473EF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C374C"/>
    <w:rsid w:val="00DD7C9A"/>
    <w:rsid w:val="00DF208A"/>
    <w:rsid w:val="00DF7584"/>
    <w:rsid w:val="00E00790"/>
    <w:rsid w:val="00E15C3B"/>
    <w:rsid w:val="00E17CE0"/>
    <w:rsid w:val="00E23BBF"/>
    <w:rsid w:val="00E35449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03D2A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400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22</cp:revision>
  <cp:lastPrinted>2017-09-20T12:25:00Z</cp:lastPrinted>
  <dcterms:created xsi:type="dcterms:W3CDTF">2021-11-12T11:31:00Z</dcterms:created>
  <dcterms:modified xsi:type="dcterms:W3CDTF">2023-05-17T10:35:00Z</dcterms:modified>
</cp:coreProperties>
</file>