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5A8134E8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12.05.2023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0957AF" w14:paraId="10C82200" w14:textId="31E1581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E4D4C" w:rsidR="000957AF">
              <w:rPr>
                <w:bCs/>
                <w:sz w:val="24"/>
                <w:lang w:val="lv-LV"/>
              </w:rPr>
              <w:t>Bērnu dienas nometne</w:t>
            </w:r>
            <w:r w:rsidR="00C1262D">
              <w:rPr>
                <w:bCs/>
                <w:sz w:val="24"/>
                <w:lang w:val="lv-LV"/>
              </w:rPr>
              <w:t>s</w:t>
            </w:r>
            <w:r w:rsidRPr="004E4D4C" w:rsidR="000957AF">
              <w:rPr>
                <w:bCs/>
                <w:sz w:val="24"/>
                <w:lang w:val="lv-LV"/>
              </w:rPr>
              <w:t xml:space="preserve"> “Vasaras piedzīvojums”</w:t>
            </w:r>
            <w:r w:rsidR="000957AF">
              <w:rPr>
                <w:bCs/>
                <w:sz w:val="24"/>
                <w:lang w:val="lv-LV"/>
              </w:rPr>
              <w:t xml:space="preserve"> un “</w:t>
            </w:r>
            <w:r w:rsidRPr="004E4D4C" w:rsidR="000957AF">
              <w:rPr>
                <w:bCs/>
                <w:sz w:val="24"/>
                <w:lang w:val="lv-LV"/>
              </w:rPr>
              <w:t>Mēs Latvijai”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0957AF" w14:paraId="1FA73AAE" w14:textId="6CCA2F7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957AF">
              <w:rPr>
                <w:sz w:val="24"/>
                <w:lang w:val="lv-LV"/>
              </w:rPr>
              <w:t>P</w:t>
            </w:r>
            <w:r w:rsidRPr="004E4D4C" w:rsidR="000957AF">
              <w:rPr>
                <w:sz w:val="24"/>
                <w:lang w:val="lv-LV"/>
              </w:rPr>
              <w:t xml:space="preserve">ārdaugavas bērnu un jauniešu centrs </w:t>
            </w:r>
            <w:r w:rsidR="000957AF">
              <w:rPr>
                <w:sz w:val="24"/>
                <w:lang w:val="lv-LV"/>
              </w:rPr>
              <w:t>“</w:t>
            </w:r>
            <w:r w:rsidRPr="004E4D4C" w:rsidR="000957AF">
              <w:rPr>
                <w:sz w:val="24"/>
                <w:lang w:val="lv-LV"/>
              </w:rPr>
              <w:t>Altona</w:t>
            </w:r>
            <w:r w:rsidRPr="004E4D4C" w:rsidR="000957AF">
              <w:rPr>
                <w:sz w:val="24"/>
                <w:lang w:val="lv-LV"/>
              </w:rPr>
              <w:t>”, reģ</w:t>
            </w:r>
            <w:r w:rsidR="000957AF">
              <w:rPr>
                <w:sz w:val="24"/>
                <w:lang w:val="lv-LV"/>
              </w:rPr>
              <w:t xml:space="preserve">istrācijas                          </w:t>
            </w:r>
            <w:r w:rsidRPr="004E4D4C" w:rsidR="000957AF">
              <w:rPr>
                <w:sz w:val="24"/>
                <w:lang w:val="lv-LV"/>
              </w:rPr>
              <w:t xml:space="preserve"> Nr. 90011524360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0957AF" w14:paraId="544EB51A" w14:textId="62BB9C3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E4D4C" w:rsidR="000957AF">
              <w:rPr>
                <w:sz w:val="24"/>
                <w:lang w:val="lv-LV"/>
              </w:rPr>
              <w:t>Ruses iela 13, Rīga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0957AF" w14:paraId="471C295C" w14:textId="56E95D2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957AF">
              <w:rPr>
                <w:sz w:val="24"/>
                <w:lang w:val="lv-LV"/>
              </w:rPr>
              <w:t>02.05.2023. vides veselības analītiķe Jeļena Gorjačeva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4D47C0C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957AF">
              <w:rPr>
                <w:sz w:val="24"/>
                <w:lang w:val="lv-LV"/>
              </w:rPr>
              <w:t>Nometnes vadītāja Jana Liepiņa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7CADFD07" w14:textId="647B854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0957AF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6C1A72" w:rsidP="00DB0224" w14:paraId="675DDC2A" w14:textId="10F4D810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sz w:val="24"/>
                <w:lang w:val="lv-LV"/>
              </w:rPr>
            </w:pPr>
            <w:r w:rsidRPr="004E4D4C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>s</w:t>
            </w:r>
            <w:r w:rsidRPr="004E4D4C">
              <w:rPr>
                <w:bCs/>
                <w:sz w:val="24"/>
                <w:lang w:val="lv-LV"/>
              </w:rPr>
              <w:t xml:space="preserve"> “Vasaras piedzīvojums”</w:t>
            </w:r>
            <w:r>
              <w:rPr>
                <w:bCs/>
                <w:sz w:val="24"/>
                <w:lang w:val="lv-LV"/>
              </w:rPr>
              <w:t xml:space="preserve"> un “</w:t>
            </w:r>
            <w:r w:rsidRPr="004E4D4C">
              <w:rPr>
                <w:bCs/>
                <w:sz w:val="24"/>
                <w:lang w:val="lv-LV"/>
              </w:rPr>
              <w:t>Mēs Latvijai”</w:t>
            </w:r>
            <w:r>
              <w:rPr>
                <w:bCs/>
                <w:sz w:val="24"/>
                <w:lang w:val="lv-LV"/>
              </w:rPr>
              <w:t xml:space="preserve"> norisināsies </w:t>
            </w:r>
            <w:r>
              <w:rPr>
                <w:sz w:val="24"/>
                <w:lang w:val="lv-LV"/>
              </w:rPr>
              <w:t>P</w:t>
            </w:r>
            <w:r w:rsidRPr="004E4D4C">
              <w:rPr>
                <w:sz w:val="24"/>
                <w:lang w:val="lv-LV"/>
              </w:rPr>
              <w:t>ārdaugavas bērnu un jauniešu centr</w:t>
            </w:r>
            <w:r>
              <w:rPr>
                <w:sz w:val="24"/>
                <w:lang w:val="lv-LV"/>
              </w:rPr>
              <w:t>a</w:t>
            </w:r>
            <w:r w:rsidRPr="004E4D4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Pr="004E4D4C">
              <w:rPr>
                <w:sz w:val="24"/>
                <w:lang w:val="lv-LV"/>
              </w:rPr>
              <w:t>Altona</w:t>
            </w:r>
            <w:r w:rsidRPr="004E4D4C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telpās, Ruses ielā 13, Rīgā</w:t>
            </w:r>
            <w:r w:rsidR="000F708E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Nometne</w:t>
            </w:r>
            <w:r w:rsidR="005E7C58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 </w:t>
            </w:r>
            <w:r w:rsidRPr="004E4D4C">
              <w:rPr>
                <w:bCs/>
                <w:sz w:val="24"/>
                <w:lang w:val="lv-LV"/>
              </w:rPr>
              <w:t>“Vasaras piedzīvojums”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5E7C58">
              <w:rPr>
                <w:bCs/>
                <w:sz w:val="24"/>
                <w:lang w:val="lv-LV"/>
              </w:rPr>
              <w:t xml:space="preserve">tiks organizēta laika posmā no </w:t>
            </w:r>
            <w:r>
              <w:rPr>
                <w:bCs/>
                <w:sz w:val="24"/>
                <w:lang w:val="lv-LV"/>
              </w:rPr>
              <w:t>01.06.2023.  līdz 14.06.2023.</w:t>
            </w:r>
            <w:r w:rsidR="005E7C58">
              <w:rPr>
                <w:bCs/>
                <w:sz w:val="24"/>
                <w:lang w:val="lv-LV"/>
              </w:rPr>
              <w:t xml:space="preserve"> un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4E4D4C">
              <w:rPr>
                <w:bCs/>
                <w:sz w:val="24"/>
                <w:lang w:val="lv-LV"/>
              </w:rPr>
              <w:t>Mēs Latvijai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5E7C58">
              <w:rPr>
                <w:bCs/>
                <w:sz w:val="24"/>
                <w:lang w:val="lv-LV"/>
              </w:rPr>
              <w:t>laiks posmā no</w:t>
            </w:r>
            <w:r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15.06.2023.</w:t>
            </w:r>
            <w:r w:rsidR="005E7C58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līdz 29.06.2023. Katrā nometnē piedalīsies 20 bērni vecumā no 7 līdz 12 gadiem. D</w:t>
            </w:r>
            <w:r w:rsidRPr="0088746B">
              <w:rPr>
                <w:sz w:val="24"/>
                <w:lang w:val="lv-LV"/>
              </w:rPr>
              <w:t>alībnieki tiks sadalīti grupās pa 10 bērniem</w:t>
            </w:r>
            <w:r>
              <w:rPr>
                <w:sz w:val="24"/>
                <w:lang w:val="lv-LV"/>
              </w:rPr>
              <w:t xml:space="preserve"> katrā. </w:t>
            </w:r>
            <w:r w:rsidRPr="0088746B">
              <w:rPr>
                <w:sz w:val="24"/>
                <w:lang w:val="lv-LV"/>
              </w:rPr>
              <w:t xml:space="preserve">Nometnes darba laiks no </w:t>
            </w:r>
            <w:r>
              <w:rPr>
                <w:sz w:val="24"/>
                <w:lang w:val="lv-LV"/>
              </w:rPr>
              <w:t xml:space="preserve">                    </w:t>
            </w:r>
            <w:r w:rsidRPr="0088746B">
              <w:rPr>
                <w:sz w:val="24"/>
                <w:lang w:val="lv-LV"/>
              </w:rPr>
              <w:t>plkst.</w:t>
            </w:r>
            <w:r>
              <w:rPr>
                <w:sz w:val="24"/>
                <w:lang w:val="lv-LV"/>
              </w:rPr>
              <w:t xml:space="preserve"> 09</w:t>
            </w:r>
            <w:r w:rsidRPr="0088746B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00</w:t>
            </w:r>
            <w:r w:rsidRPr="0088746B">
              <w:rPr>
                <w:sz w:val="24"/>
                <w:lang w:val="lv-LV"/>
              </w:rPr>
              <w:t xml:space="preserve"> līdz plkst.1</w:t>
            </w:r>
            <w:r>
              <w:rPr>
                <w:sz w:val="24"/>
                <w:lang w:val="lv-LV"/>
              </w:rPr>
              <w:t>7</w:t>
            </w:r>
            <w:r w:rsidRPr="0088746B">
              <w:rPr>
                <w:sz w:val="24"/>
                <w:lang w:val="lv-LV"/>
              </w:rPr>
              <w:t>.00</w:t>
            </w:r>
            <w:r>
              <w:rPr>
                <w:sz w:val="24"/>
                <w:lang w:val="lv-LV"/>
              </w:rPr>
              <w:t>.</w:t>
            </w:r>
            <w:r w:rsidR="00DB022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Nometnes vajadzībām tiks izmantotas centra </w:t>
            </w:r>
            <w:r w:rsidR="003446F4">
              <w:rPr>
                <w:sz w:val="24"/>
                <w:lang w:val="lv-LV"/>
              </w:rPr>
              <w:t>mācību</w:t>
            </w:r>
            <w:r w:rsidR="00DB0224">
              <w:rPr>
                <w:sz w:val="24"/>
                <w:lang w:val="lv-LV"/>
              </w:rPr>
              <w:t xml:space="preserve"> kabineti                  </w:t>
            </w:r>
            <w:r>
              <w:rPr>
                <w:sz w:val="24"/>
                <w:lang w:val="lv-LV"/>
              </w:rPr>
              <w:t xml:space="preserve"> </w:t>
            </w:r>
            <w:r w:rsidR="001720EC">
              <w:rPr>
                <w:sz w:val="24"/>
                <w:lang w:val="lv-LV"/>
              </w:rPr>
              <w:t>(</w:t>
            </w:r>
            <w:r>
              <w:rPr>
                <w:sz w:val="24"/>
                <w:lang w:val="lv-LV"/>
              </w:rPr>
              <w:t>Nr. 12., Nr. 14.</w:t>
            </w:r>
            <w:r w:rsidR="001720EC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Nr. 15.</w:t>
            </w:r>
            <w:r w:rsidR="001720EC">
              <w:rPr>
                <w:sz w:val="24"/>
                <w:lang w:val="lv-LV"/>
              </w:rPr>
              <w:t>)  un sporta/aktu zāle.</w:t>
            </w:r>
            <w:r>
              <w:rPr>
                <w:sz w:val="24"/>
                <w:lang w:val="lv-LV"/>
              </w:rPr>
              <w:t xml:space="preserve"> </w:t>
            </w:r>
            <w:r w:rsidR="00300AB2">
              <w:rPr>
                <w:sz w:val="24"/>
                <w:lang w:val="lv-LV"/>
              </w:rPr>
              <w:t>Ēkā</w:t>
            </w:r>
            <w:r w:rsidRPr="00DB0224" w:rsidR="00DB0224">
              <w:rPr>
                <w:sz w:val="24"/>
                <w:lang w:val="lv-LV"/>
              </w:rPr>
              <w:t xml:space="preserve"> ir pieejamas tualetes telpas</w:t>
            </w:r>
            <w:r w:rsidR="003446F4">
              <w:rPr>
                <w:sz w:val="24"/>
                <w:lang w:val="lv-LV"/>
              </w:rPr>
              <w:t>. Personīgās higiēnas ievērošanas apstākļi ir nodrošināti.</w:t>
            </w:r>
            <w:r w:rsidR="005E7C58">
              <w:rPr>
                <w:sz w:val="24"/>
                <w:lang w:val="lv-LV"/>
              </w:rPr>
              <w:t xml:space="preserve"> Sanitārās ierīces darba kārtībā. </w:t>
            </w:r>
            <w:r w:rsidR="003446F4">
              <w:rPr>
                <w:sz w:val="24"/>
                <w:lang w:val="lv-LV"/>
              </w:rPr>
              <w:t xml:space="preserve"> </w:t>
            </w:r>
          </w:p>
          <w:p w:rsidR="00AF4FF1" w:rsidRPr="000F708E" w:rsidP="00DB0224" w14:paraId="60B85156" w14:textId="43B9E4F9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Programmā ir paredzētas izglītojošas nodarbības un</w:t>
            </w:r>
            <w:r w:rsidR="00DB0224">
              <w:rPr>
                <w:sz w:val="24"/>
                <w:lang w:val="lv-LV"/>
              </w:rPr>
              <w:t xml:space="preserve"> dažādas aktivitātes, organizējot ekskursijas un pastaigas. Bērni aktīvi pavadīs savu brīvlaiku.</w:t>
            </w:r>
            <w:r w:rsidR="00C1262D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Nometnes </w:t>
            </w:r>
            <w:r w:rsidRPr="004E4D4C">
              <w:rPr>
                <w:bCs/>
                <w:sz w:val="24"/>
                <w:lang w:val="lv-LV"/>
              </w:rPr>
              <w:t>“Vasaras piedzīvojums”</w:t>
            </w:r>
            <w:r>
              <w:rPr>
                <w:bCs/>
                <w:sz w:val="24"/>
                <w:lang w:val="lv-LV"/>
              </w:rPr>
              <w:t xml:space="preserve"> vadītāja – Jana </w:t>
            </w:r>
            <w:r w:rsidRPr="000F708E">
              <w:rPr>
                <w:bCs/>
                <w:sz w:val="24"/>
                <w:lang w:val="lv-LV"/>
              </w:rPr>
              <w:t>Liepiņa</w:t>
            </w:r>
            <w:r>
              <w:rPr>
                <w:bCs/>
                <w:sz w:val="24"/>
                <w:lang w:val="lv-LV"/>
              </w:rPr>
              <w:t xml:space="preserve">, apliecības Nr. </w:t>
            </w:r>
            <w:r w:rsidRPr="000F708E">
              <w:rPr>
                <w:bCs/>
                <w:sz w:val="24"/>
                <w:lang w:val="lv-LV"/>
              </w:rPr>
              <w:t>116-01004</w:t>
            </w:r>
            <w:r>
              <w:rPr>
                <w:bCs/>
                <w:sz w:val="24"/>
                <w:lang w:val="lv-LV"/>
              </w:rPr>
              <w:t>.</w:t>
            </w:r>
            <w:r w:rsidR="00DB0224">
              <w:rPr>
                <w:b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Nometnes </w:t>
            </w:r>
            <w:r w:rsidRPr="004E4D4C">
              <w:rPr>
                <w:bCs/>
                <w:sz w:val="24"/>
                <w:lang w:val="lv-LV"/>
              </w:rPr>
              <w:t>“</w:t>
            </w:r>
            <w:r w:rsidRPr="000F708E">
              <w:rPr>
                <w:bCs/>
                <w:sz w:val="24"/>
                <w:lang w:val="lv-LV"/>
              </w:rPr>
              <w:t>Mēs Latvijai</w:t>
            </w:r>
            <w:r w:rsidRPr="004E4D4C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 vadītāja - </w:t>
            </w:r>
            <w:r w:rsidRPr="000F708E">
              <w:rPr>
                <w:bCs/>
                <w:sz w:val="24"/>
                <w:lang w:val="lv-LV"/>
              </w:rPr>
              <w:t>Alexandra Klementyeva</w:t>
            </w:r>
            <w:r>
              <w:rPr>
                <w:bCs/>
                <w:sz w:val="24"/>
                <w:lang w:val="lv-LV"/>
              </w:rPr>
              <w:t xml:space="preserve">, apliecības Nr. </w:t>
            </w:r>
            <w:r w:rsidRPr="000F708E">
              <w:rPr>
                <w:bCs/>
                <w:sz w:val="24"/>
                <w:lang w:val="lv-LV"/>
              </w:rPr>
              <w:t>116-01137</w:t>
            </w:r>
            <w:r>
              <w:rPr>
                <w:bCs/>
                <w:sz w:val="24"/>
                <w:lang w:val="lv-LV"/>
              </w:rPr>
              <w:t>.</w:t>
            </w:r>
            <w:r w:rsidR="00DB0224">
              <w:rPr>
                <w:bCs/>
                <w:sz w:val="24"/>
                <w:lang w:val="lv-LV"/>
              </w:rPr>
              <w:t xml:space="preserve"> </w:t>
            </w:r>
            <w:r w:rsidR="00DB0224">
              <w:rPr>
                <w:iCs/>
                <w:sz w:val="24"/>
                <w:lang w:val="lv-LV"/>
              </w:rPr>
              <w:t>Me</w:t>
            </w:r>
            <w:r w:rsidRPr="000F708E" w:rsidR="00DB0224">
              <w:rPr>
                <w:iCs/>
                <w:sz w:val="24"/>
                <w:lang w:val="lv-LV"/>
              </w:rPr>
              <w:t xml:space="preserve">dicīniskos pakalpojumus </w:t>
            </w:r>
            <w:r w:rsidR="00DB0224">
              <w:rPr>
                <w:iCs/>
                <w:sz w:val="24"/>
                <w:lang w:val="lv-LV"/>
              </w:rPr>
              <w:t xml:space="preserve">nodrošinās </w:t>
            </w:r>
            <w:r w:rsidRPr="000F708E" w:rsidR="00DB0224">
              <w:rPr>
                <w:iCs/>
                <w:sz w:val="24"/>
                <w:lang w:val="lv-LV"/>
              </w:rPr>
              <w:t>medmāsa</w:t>
            </w:r>
            <w:r w:rsidR="00DB0224">
              <w:rPr>
                <w:iCs/>
                <w:sz w:val="24"/>
                <w:lang w:val="lv-LV"/>
              </w:rPr>
              <w:t xml:space="preserve"> </w:t>
            </w:r>
            <w:r w:rsidRPr="000F708E" w:rsidR="00DB0224">
              <w:rPr>
                <w:iCs/>
                <w:sz w:val="24"/>
                <w:lang w:val="lv-LV"/>
              </w:rPr>
              <w:t>Alla Juršina</w:t>
            </w:r>
            <w:r w:rsidR="00DB0224">
              <w:rPr>
                <w:iCs/>
                <w:sz w:val="24"/>
                <w:lang w:val="lv-LV"/>
              </w:rPr>
              <w:t>.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281328" w:rsidRPr="00281328" w:rsidP="00281328" w14:paraId="3BE30E84" w14:textId="4E1E4B63">
            <w:pPr>
              <w:overflowPunct/>
              <w:autoSpaceDE/>
              <w:adjustRightInd/>
              <w:ind w:right="6" w:firstLine="207"/>
              <w:rPr>
                <w:bCs/>
                <w:sz w:val="24"/>
                <w:lang w:val="lv-LV"/>
              </w:rPr>
            </w:pPr>
            <w:r w:rsidRPr="00281328">
              <w:rPr>
                <w:bCs/>
                <w:sz w:val="24"/>
                <w:lang w:val="lv-LV"/>
              </w:rPr>
              <w:t xml:space="preserve">Atbilst telpu funkcijai. </w:t>
            </w:r>
            <w:r>
              <w:rPr>
                <w:bCs/>
                <w:sz w:val="24"/>
                <w:lang w:val="lv-LV"/>
              </w:rPr>
              <w:t xml:space="preserve">Telpu higiēniskais stāvoklis ir apmierinošs. </w:t>
            </w:r>
          </w:p>
          <w:p w:rsidR="00246554" w:rsidP="00D437BF" w14:paraId="5B25727C" w14:textId="527DB70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281328" w:rsidP="00281328" w14:paraId="68864F6D" w14:textId="0F9FCE8A">
            <w:pPr>
              <w:overflowPunct/>
              <w:autoSpaceDE/>
              <w:adjustRightInd/>
              <w:ind w:right="6" w:firstLine="209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Mācību telpās ir nodrošināts dabiskais un mākslīgais apgaismojums. 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281328" w:rsidP="00281328" w14:paraId="2317B982" w14:textId="4E13C81D">
            <w:pPr>
              <w:overflowPunct/>
              <w:autoSpaceDE/>
              <w:adjustRightInd/>
              <w:ind w:right="6" w:firstLine="207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Centralizētā siltumapgādes sistēma. 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281328" w:rsidP="00281328" w14:paraId="0E08E015" w14:textId="2FD17749">
            <w:pPr>
              <w:overflowPunct/>
              <w:autoSpaceDE/>
              <w:adjustRightInd/>
              <w:ind w:right="6" w:firstLine="207"/>
              <w:rPr>
                <w:bCs/>
                <w:sz w:val="24"/>
                <w:lang w:val="lv-LV"/>
              </w:rPr>
            </w:pPr>
            <w:r w:rsidRPr="00281328">
              <w:rPr>
                <w:bCs/>
                <w:sz w:val="24"/>
                <w:lang w:val="lv-LV"/>
              </w:rPr>
              <w:t xml:space="preserve">Dabiskā caur logiem, durvīm un ventilācijas kanāliem. 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281328" w14:paraId="31CCAC57" w14:textId="570384C6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pilsētas centralizētajiem ūdensapgādes tīkliem. 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281328" w14:paraId="552839FA" w14:textId="351C70A7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pilsētas centralizētajiem kanalizācijas tīkliem.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281328" w14:paraId="0D0D7281" w14:textId="224764D3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Apkārtējā teritorija ir labiekārtota. 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281328" w14:paraId="4CC9490E" w14:textId="467706BE">
            <w:pPr>
              <w:overflowPunct/>
              <w:autoSpaceDE/>
              <w:adjustRightInd/>
              <w:ind w:right="6" w:firstLine="207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281328" w14:paraId="3B486C9D" w14:textId="77CFEBFE">
            <w:pPr>
              <w:tabs>
                <w:tab w:val="left" w:pos="993"/>
              </w:tabs>
              <w:ind w:firstLine="207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Ārpus nometnes norises vietas nodrošināt higiēnas normu ievērošanu. 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AF4FF1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bCs/>
                <w:caps/>
                <w:sz w:val="24"/>
                <w:lang w:val="lv-LV"/>
              </w:rPr>
            </w:pPr>
            <w:r w:rsidRPr="00AF4FF1">
              <w:rPr>
                <w:b/>
                <w:bCs/>
                <w:caps/>
                <w:sz w:val="24"/>
                <w:lang w:val="lv-LV"/>
              </w:rPr>
              <w:t xml:space="preserve">7. </w:t>
            </w:r>
            <w:r w:rsidRPr="00AF4FF1" w:rsidR="00EB5F72">
              <w:rPr>
                <w:b/>
                <w:bCs/>
                <w:caps/>
                <w:sz w:val="24"/>
                <w:lang w:val="lv-LV"/>
              </w:rPr>
              <w:t>Slēdziens</w:t>
            </w:r>
          </w:p>
          <w:p w:rsidR="00DB6B34" w:rsidRPr="006E0C73" w:rsidP="00AF4FF1" w14:paraId="1D8A1C08" w14:textId="2CFD598D">
            <w:pPr>
              <w:ind w:firstLine="209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4E4D4C">
              <w:rPr>
                <w:bCs/>
                <w:sz w:val="24"/>
                <w:lang w:val="lv-LV"/>
              </w:rPr>
              <w:t>Bērnu dienas nometne</w:t>
            </w:r>
            <w:r w:rsidR="00C1262D">
              <w:rPr>
                <w:bCs/>
                <w:sz w:val="24"/>
                <w:lang w:val="lv-LV"/>
              </w:rPr>
              <w:t>s</w:t>
            </w:r>
            <w:r w:rsidRPr="004E4D4C">
              <w:rPr>
                <w:bCs/>
                <w:sz w:val="24"/>
                <w:lang w:val="lv-LV"/>
              </w:rPr>
              <w:t xml:space="preserve"> “Vasaras piedzīvojums”</w:t>
            </w:r>
            <w:r>
              <w:rPr>
                <w:bCs/>
                <w:sz w:val="24"/>
                <w:lang w:val="lv-LV"/>
              </w:rPr>
              <w:t xml:space="preserve"> un “</w:t>
            </w:r>
            <w:r w:rsidRPr="004E4D4C">
              <w:rPr>
                <w:bCs/>
                <w:sz w:val="24"/>
                <w:lang w:val="lv-LV"/>
              </w:rPr>
              <w:t>Mēs Latvijai”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4E4D4C">
              <w:rPr>
                <w:sz w:val="24"/>
                <w:lang w:val="lv-LV"/>
              </w:rPr>
              <w:t>Ruses iel</w:t>
            </w:r>
            <w:r>
              <w:rPr>
                <w:sz w:val="24"/>
                <w:lang w:val="lv-LV"/>
              </w:rPr>
              <w:t>ā</w:t>
            </w:r>
            <w:r w:rsidRPr="004E4D4C">
              <w:rPr>
                <w:sz w:val="24"/>
                <w:lang w:val="lv-LV"/>
              </w:rPr>
              <w:t xml:space="preserve"> 13, Rīg</w:t>
            </w:r>
            <w:r>
              <w:rPr>
                <w:sz w:val="24"/>
                <w:lang w:val="lv-LV"/>
              </w:rPr>
              <w:t xml:space="preserve">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79D4612E" w14:textId="77777777" w:rsidTr="001720EC">
        <w:tblPrEx>
          <w:tblW w:w="0" w:type="auto"/>
          <w:tblInd w:w="108" w:type="dxa"/>
          <w:tblLook w:val="04A0"/>
        </w:tblPrEx>
        <w:trPr>
          <w:trHeight w:val="274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C4E00E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AF4FF1" w:rsidRPr="00D32BD8" w:rsidP="00AF4FF1" w14:paraId="750D6BEA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AF4FF1" w:rsidP="00AF4FF1" w14:paraId="1EF1E533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>. 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2F4108" w:rsidRPr="00281328" w:rsidP="00281328" w14:paraId="65BF600B" w14:textId="6B68EFEA">
            <w:pPr>
              <w:numPr>
                <w:ilvl w:val="0"/>
                <w:numId w:val="15"/>
              </w:numPr>
              <w:adjustRightInd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 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63BE9F43" w14:textId="77777777" w:rsidTr="00AF4FF1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AF4FF1" w:rsidP="00BD233F" w14:paraId="20C16671" w14:textId="77777777">
            <w:pPr>
              <w:rPr>
                <w:sz w:val="24"/>
                <w:lang w:val="lv-LV"/>
              </w:rPr>
            </w:pPr>
          </w:p>
          <w:p w:rsidR="00AF4FF1" w:rsidP="00BD233F" w14:paraId="3683CCDA" w14:textId="77777777">
            <w:pPr>
              <w:rPr>
                <w:sz w:val="24"/>
                <w:lang w:val="lv-LV"/>
              </w:rPr>
            </w:pPr>
          </w:p>
          <w:p w:rsidR="00AF4FF1" w:rsidP="00BD233F" w14:paraId="79568BD4" w14:textId="77777777">
            <w:pPr>
              <w:ind w:hanging="108"/>
              <w:rPr>
                <w:sz w:val="24"/>
                <w:lang w:val="lv-LV"/>
              </w:rPr>
            </w:pPr>
          </w:p>
          <w:p w:rsidR="00AF4FF1" w:rsidRPr="005047F5" w:rsidP="00BD233F" w14:paraId="083F2C8B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AF4FF1" w:rsidRPr="008A3DA7" w:rsidP="00BD233F" w14:paraId="7A9C92F4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110A5191" w14:textId="77777777" w:rsidTr="00AF4FF1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AF4FF1" w:rsidRPr="008A3DA7" w:rsidP="00BD233F" w14:paraId="22F0BAAA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AF4FF1" w:rsidRPr="008A3DA7" w:rsidP="00BD233F" w14:paraId="0835BFC3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480C7644" w14:textId="77777777" w:rsidTr="00AF4FF1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AF4FF1" w:rsidP="00BD233F" w14:paraId="53E7E438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AF4FF1" w:rsidP="00BD233F" w14:paraId="022B0932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AF4FF1" w:rsidRPr="00B715B1" w:rsidP="00AF4FF1" w14:paraId="2121E3E7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AF4FF1" w:rsidP="00AF4FF1" w14:paraId="2C30CD31" w14:textId="77777777">
      <w:pPr>
        <w:rPr>
          <w:sz w:val="24"/>
          <w:lang w:val="lv-LV"/>
        </w:rPr>
      </w:pPr>
    </w:p>
    <w:p w:rsidR="00AF4FF1" w:rsidRPr="00B715B1" w:rsidP="00AF4FF1" w14:paraId="673C941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0A031A8E" w14:textId="77777777" w:rsidTr="00BD233F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AF4FF1" w:rsidRPr="00B05905" w:rsidP="00BD233F" w14:paraId="1A09EE2E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0CE66086" w14:textId="77777777" w:rsidTr="00BD233F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AF4FF1" w:rsidRPr="00B05905" w:rsidP="00BD233F" w14:paraId="341E63C6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00AB2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0D5B03E8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12.05.2023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2.4.5.-8/221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3222293"/>
    <w:multiLevelType w:val="hybridMultilevel"/>
    <w:tmpl w:val="9CE8F8D6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6"/>
  </w:num>
  <w:num w:numId="2" w16cid:durableId="1508908746">
    <w:abstractNumId w:val="2"/>
  </w:num>
  <w:num w:numId="3" w16cid:durableId="711465001">
    <w:abstractNumId w:val="1"/>
  </w:num>
  <w:num w:numId="4" w16cid:durableId="118692402">
    <w:abstractNumId w:val="4"/>
  </w:num>
  <w:num w:numId="5" w16cid:durableId="97257205">
    <w:abstractNumId w:val="10"/>
  </w:num>
  <w:num w:numId="6" w16cid:durableId="1384985546">
    <w:abstractNumId w:val="11"/>
  </w:num>
  <w:num w:numId="7" w16cid:durableId="785194038">
    <w:abstractNumId w:val="8"/>
  </w:num>
  <w:num w:numId="8" w16cid:durableId="404836921">
    <w:abstractNumId w:val="3"/>
  </w:num>
  <w:num w:numId="9" w16cid:durableId="2117367812">
    <w:abstractNumId w:val="7"/>
  </w:num>
  <w:num w:numId="10" w16cid:durableId="18911914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3"/>
  </w:num>
  <w:num w:numId="12" w16cid:durableId="15085931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5"/>
  </w:num>
  <w:num w:numId="15" w16cid:durableId="811424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57AF"/>
    <w:rsid w:val="000964F0"/>
    <w:rsid w:val="0009799A"/>
    <w:rsid w:val="000A19D0"/>
    <w:rsid w:val="000A4BD0"/>
    <w:rsid w:val="000A7FF6"/>
    <w:rsid w:val="000C05D2"/>
    <w:rsid w:val="000D509E"/>
    <w:rsid w:val="000E1872"/>
    <w:rsid w:val="000F708E"/>
    <w:rsid w:val="00104812"/>
    <w:rsid w:val="00106D19"/>
    <w:rsid w:val="0011454A"/>
    <w:rsid w:val="00114A2B"/>
    <w:rsid w:val="00115CB8"/>
    <w:rsid w:val="00120046"/>
    <w:rsid w:val="00151696"/>
    <w:rsid w:val="00161456"/>
    <w:rsid w:val="001720EC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1328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0AB2"/>
    <w:rsid w:val="00304183"/>
    <w:rsid w:val="003059B5"/>
    <w:rsid w:val="00327CF0"/>
    <w:rsid w:val="0033268D"/>
    <w:rsid w:val="003341DA"/>
    <w:rsid w:val="00335C85"/>
    <w:rsid w:val="0033695B"/>
    <w:rsid w:val="003446F4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4D4C"/>
    <w:rsid w:val="004E78A9"/>
    <w:rsid w:val="005047F5"/>
    <w:rsid w:val="005049C7"/>
    <w:rsid w:val="005514D8"/>
    <w:rsid w:val="00552816"/>
    <w:rsid w:val="00560950"/>
    <w:rsid w:val="00562B75"/>
    <w:rsid w:val="00567F04"/>
    <w:rsid w:val="005807C6"/>
    <w:rsid w:val="005827EC"/>
    <w:rsid w:val="00585B96"/>
    <w:rsid w:val="00594DBA"/>
    <w:rsid w:val="005A4699"/>
    <w:rsid w:val="005E7C58"/>
    <w:rsid w:val="00603BC3"/>
    <w:rsid w:val="00605D92"/>
    <w:rsid w:val="006205D2"/>
    <w:rsid w:val="00624DF5"/>
    <w:rsid w:val="00627CC4"/>
    <w:rsid w:val="00633DAF"/>
    <w:rsid w:val="00637195"/>
    <w:rsid w:val="00652EBB"/>
    <w:rsid w:val="00673CF4"/>
    <w:rsid w:val="0068137B"/>
    <w:rsid w:val="006834AF"/>
    <w:rsid w:val="006B6E15"/>
    <w:rsid w:val="006C066D"/>
    <w:rsid w:val="006C1A72"/>
    <w:rsid w:val="006D43A1"/>
    <w:rsid w:val="006E06C3"/>
    <w:rsid w:val="006E0C73"/>
    <w:rsid w:val="006E3012"/>
    <w:rsid w:val="006F7A48"/>
    <w:rsid w:val="00702AAF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E5E21"/>
    <w:rsid w:val="00810FA9"/>
    <w:rsid w:val="008179CE"/>
    <w:rsid w:val="00822BBD"/>
    <w:rsid w:val="008355A6"/>
    <w:rsid w:val="00840480"/>
    <w:rsid w:val="00842E5D"/>
    <w:rsid w:val="008525E4"/>
    <w:rsid w:val="00857D6E"/>
    <w:rsid w:val="00872DDD"/>
    <w:rsid w:val="0088746B"/>
    <w:rsid w:val="00893FF3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247"/>
    <w:rsid w:val="008E3B42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4FF1"/>
    <w:rsid w:val="00AF6968"/>
    <w:rsid w:val="00B05905"/>
    <w:rsid w:val="00B22CEB"/>
    <w:rsid w:val="00B43275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233F"/>
    <w:rsid w:val="00BD5879"/>
    <w:rsid w:val="00BE02B1"/>
    <w:rsid w:val="00BE167E"/>
    <w:rsid w:val="00BE5727"/>
    <w:rsid w:val="00BF195D"/>
    <w:rsid w:val="00BF20F8"/>
    <w:rsid w:val="00BF3E45"/>
    <w:rsid w:val="00C108EE"/>
    <w:rsid w:val="00C1262D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66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44255"/>
    <w:rsid w:val="00D56169"/>
    <w:rsid w:val="00D65B8D"/>
    <w:rsid w:val="00D7017A"/>
    <w:rsid w:val="00D71A5E"/>
    <w:rsid w:val="00D72ED9"/>
    <w:rsid w:val="00D84ADB"/>
    <w:rsid w:val="00D84C4B"/>
    <w:rsid w:val="00DA043F"/>
    <w:rsid w:val="00DB0224"/>
    <w:rsid w:val="00DB5642"/>
    <w:rsid w:val="00DB6B34"/>
    <w:rsid w:val="00DB74BC"/>
    <w:rsid w:val="00DD7C9A"/>
    <w:rsid w:val="00DF208A"/>
    <w:rsid w:val="00DF7584"/>
    <w:rsid w:val="00E00790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19</cp:revision>
  <cp:lastPrinted>2017-09-20T12:25:00Z</cp:lastPrinted>
  <dcterms:created xsi:type="dcterms:W3CDTF">2021-11-12T11:31:00Z</dcterms:created>
  <dcterms:modified xsi:type="dcterms:W3CDTF">2023-05-12T10:54:00Z</dcterms:modified>
</cp:coreProperties>
</file>