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90" w:type="dxa"/>
        <w:tblInd w:w="108" w:type="dxa"/>
        <w:tblLayout w:type="fixed"/>
        <w:tblLook w:val="04A0"/>
      </w:tblPr>
      <w:tblGrid>
        <w:gridCol w:w="9390"/>
      </w:tblGrid>
      <w:tr w14:paraId="5A8134E8" w14:textId="77777777" w:rsidTr="00D44255">
        <w:tblPrEx>
          <w:tblW w:w="9390" w:type="dxa"/>
          <w:tblInd w:w="108" w:type="dxa"/>
          <w:tblLayout w:type="fixed"/>
          <w:tblLook w:val="04A0"/>
        </w:tblPrEx>
        <w:tc>
          <w:tcPr>
            <w:tcW w:w="9390"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44255">
        <w:tblPrEx>
          <w:tblW w:w="9390" w:type="dxa"/>
          <w:tblInd w:w="108" w:type="dxa"/>
          <w:tblLayout w:type="fixed"/>
          <w:tblLook w:val="04A0"/>
        </w:tblPrEx>
        <w:tc>
          <w:tcPr>
            <w:tcW w:w="9390"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9390" w:type="dxa"/>
        <w:tblInd w:w="108" w:type="dxa"/>
        <w:tblLayout w:type="fixed"/>
        <w:tblLook w:val="0000"/>
      </w:tblPr>
      <w:tblGrid>
        <w:gridCol w:w="2909"/>
        <w:gridCol w:w="6481"/>
      </w:tblGrid>
      <w:tr w14:paraId="56229912" w14:textId="77777777" w:rsidTr="008C5E28">
        <w:tblPrEx>
          <w:tblW w:w="9390" w:type="dxa"/>
          <w:tblInd w:w="108" w:type="dxa"/>
          <w:tblLayout w:type="fixed"/>
          <w:tblLook w:val="0000"/>
        </w:tblPrEx>
        <w:trPr>
          <w:gridAfter w:val="1"/>
          <w:wAfter w:w="6481" w:type="dxa"/>
        </w:trPr>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17.04.2023</w:t>
            </w:r>
          </w:p>
        </w:tc>
      </w:tr>
      <w:tr w14:paraId="5DA57B9B" w14:textId="77777777" w:rsidTr="008C5E28">
        <w:tblPrEx>
          <w:tblW w:w="9390" w:type="dxa"/>
          <w:tblInd w:w="108" w:type="dxa"/>
          <w:tblLayout w:type="fixed"/>
          <w:tblLook w:val="04A0"/>
        </w:tblPrEx>
        <w:tc>
          <w:tcPr>
            <w:tcW w:w="9390" w:type="dxa"/>
            <w:gridSpan w:val="2"/>
            <w:tcBorders>
              <w:top w:val="single" w:sz="4" w:space="0" w:color="auto"/>
              <w:left w:val="single" w:sz="4" w:space="0" w:color="auto"/>
              <w:bottom w:val="single" w:sz="4" w:space="0" w:color="auto"/>
              <w:right w:val="single" w:sz="4" w:space="0" w:color="auto"/>
            </w:tcBorders>
            <w:hideMark/>
          </w:tcPr>
          <w:p w:rsidR="008C5E28" w:rsidRPr="008C5E28" w:rsidP="008C5E28" w14:paraId="0D53A9CB" w14:textId="77777777">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sidRPr="008C5E28">
              <w:rPr>
                <w:b/>
                <w:sz w:val="24"/>
                <w:lang w:val="lv-LV"/>
              </w:rPr>
              <w:t>Objekta nosaukums:</w:t>
            </w:r>
            <w:r w:rsidRPr="008C5E28">
              <w:rPr>
                <w:sz w:val="24"/>
                <w:lang w:val="lv-LV"/>
              </w:rPr>
              <w:t xml:space="preserve"> Bērnu dienas nometnes BRĪNUMZEME 2023 (“Hobiju nedēļa”, “Zinātnieku nedēļa”, “Krāsainās dienas”, “Eksperimentu nedēļa”, “Triku nedēļa”, “Radošā nedēļa”, “Piedzīvojumu nedēļa”, “Pavāru nedēļa”, “Multfilmu nedēļa”, “Maģiskā </w:t>
            </w:r>
            <w:r w:rsidRPr="008C5E28">
              <w:rPr>
                <w:sz w:val="24"/>
                <w:lang w:val="lv-LV"/>
              </w:rPr>
              <w:t>nedāļa</w:t>
            </w:r>
            <w:r w:rsidRPr="008C5E28">
              <w:rPr>
                <w:sz w:val="24"/>
                <w:lang w:val="lv-LV"/>
              </w:rPr>
              <w:t>”, “Ceļojumu nedēļa”, “</w:t>
            </w:r>
            <w:r w:rsidRPr="008C5E28">
              <w:rPr>
                <w:sz w:val="24"/>
                <w:lang w:val="lv-LV"/>
              </w:rPr>
              <w:t>Gadžetu</w:t>
            </w:r>
            <w:r w:rsidRPr="008C5E28">
              <w:rPr>
                <w:sz w:val="24"/>
                <w:lang w:val="lv-LV"/>
              </w:rPr>
              <w:t xml:space="preserve"> nedēļa”, “Šausmu dienas”)</w:t>
            </w:r>
          </w:p>
        </w:tc>
      </w:tr>
      <w:tr w14:paraId="494CE134" w14:textId="77777777" w:rsidTr="008C5E28">
        <w:tblPrEx>
          <w:tblW w:w="9390" w:type="dxa"/>
          <w:tblInd w:w="108" w:type="dxa"/>
          <w:tblLayout w:type="fixed"/>
          <w:tblLook w:val="04A0"/>
        </w:tblPrEx>
        <w:tc>
          <w:tcPr>
            <w:tcW w:w="9390" w:type="dxa"/>
            <w:gridSpan w:val="2"/>
            <w:tcBorders>
              <w:top w:val="single" w:sz="4" w:space="0" w:color="auto"/>
              <w:left w:val="single" w:sz="4" w:space="0" w:color="auto"/>
              <w:bottom w:val="single" w:sz="4" w:space="0" w:color="auto"/>
              <w:right w:val="single" w:sz="4" w:space="0" w:color="auto"/>
            </w:tcBorders>
            <w:hideMark/>
          </w:tcPr>
          <w:p w:rsidR="008C5E28" w:rsidRPr="008C5E28" w:rsidP="008C5E28" w14:paraId="3083BF41" w14:textId="77777777">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sidRPr="008C5E28">
              <w:rPr>
                <w:b/>
                <w:sz w:val="24"/>
                <w:lang w:val="lv-LV"/>
              </w:rPr>
              <w:t>Objekta īpašnieks:</w:t>
            </w:r>
            <w:r w:rsidRPr="008C5E28">
              <w:rPr>
                <w:sz w:val="24"/>
                <w:lang w:val="lv-LV"/>
              </w:rPr>
              <w:t xml:space="preserve"> </w:t>
            </w:r>
            <w:r w:rsidRPr="008C5E28">
              <w:rPr>
                <w:sz w:val="24"/>
                <w:szCs w:val="20"/>
                <w:lang w:val="lv-LV"/>
              </w:rPr>
              <w:t>Telpu nomnieks – SIA “WE ARE VERY”, reģistrācijas Nr. 40103197321</w:t>
            </w:r>
          </w:p>
        </w:tc>
      </w:tr>
      <w:tr w14:paraId="2E0770CD" w14:textId="77777777" w:rsidTr="008C5E28">
        <w:tblPrEx>
          <w:tblW w:w="9390" w:type="dxa"/>
          <w:tblInd w:w="108" w:type="dxa"/>
          <w:tblLayout w:type="fixed"/>
          <w:tblLook w:val="04A0"/>
        </w:tblPrEx>
        <w:tc>
          <w:tcPr>
            <w:tcW w:w="9390" w:type="dxa"/>
            <w:gridSpan w:val="2"/>
            <w:tcBorders>
              <w:top w:val="single" w:sz="4" w:space="0" w:color="auto"/>
              <w:left w:val="single" w:sz="4" w:space="0" w:color="auto"/>
              <w:bottom w:val="single" w:sz="4" w:space="0" w:color="auto"/>
              <w:right w:val="single" w:sz="4" w:space="0" w:color="auto"/>
            </w:tcBorders>
            <w:hideMark/>
          </w:tcPr>
          <w:p w:rsidR="008C5E28" w:rsidRPr="008C5E28" w:rsidP="008C5E28" w14:paraId="25685166" w14:textId="2FBD5B66">
            <w:pPr>
              <w:numPr>
                <w:ilvl w:val="0"/>
                <w:numId w:val="12"/>
              </w:numPr>
              <w:tabs>
                <w:tab w:val="left" w:pos="252"/>
                <w:tab w:val="left" w:pos="432"/>
                <w:tab w:val="left" w:pos="702"/>
                <w:tab w:val="left" w:pos="993"/>
              </w:tabs>
              <w:spacing w:before="60" w:after="60"/>
              <w:ind w:left="360"/>
              <w:jc w:val="both"/>
              <w:textAlignment w:val="auto"/>
              <w:rPr>
                <w:sz w:val="24"/>
                <w:lang w:val="lv-LV"/>
              </w:rPr>
            </w:pPr>
            <w:r w:rsidRPr="008C5E28">
              <w:rPr>
                <w:b/>
                <w:sz w:val="24"/>
                <w:lang w:val="lv-LV"/>
              </w:rPr>
              <w:t>Objekta adrese:</w:t>
            </w:r>
            <w:r w:rsidRPr="008C5E28">
              <w:rPr>
                <w:sz w:val="24"/>
                <w:lang w:val="lv-LV"/>
              </w:rPr>
              <w:t xml:space="preserve"> Krišjāņa Valdemāra iel</w:t>
            </w:r>
            <w:r>
              <w:rPr>
                <w:sz w:val="24"/>
                <w:lang w:val="lv-LV"/>
              </w:rPr>
              <w:t>a</w:t>
            </w:r>
            <w:r w:rsidRPr="008C5E28">
              <w:rPr>
                <w:sz w:val="24"/>
                <w:lang w:val="lv-LV"/>
              </w:rPr>
              <w:t xml:space="preserve"> 8, Rīg</w:t>
            </w:r>
            <w:r>
              <w:rPr>
                <w:sz w:val="24"/>
                <w:lang w:val="lv-LV"/>
              </w:rPr>
              <w:t>a</w:t>
            </w:r>
          </w:p>
        </w:tc>
      </w:tr>
      <w:tr w14:paraId="1FB5F00D" w14:textId="77777777" w:rsidTr="008C5E28">
        <w:tblPrEx>
          <w:tblW w:w="9390" w:type="dxa"/>
          <w:tblInd w:w="108" w:type="dxa"/>
          <w:tblLayout w:type="fixed"/>
          <w:tblLook w:val="04A0"/>
        </w:tblPrEx>
        <w:tc>
          <w:tcPr>
            <w:tcW w:w="9390" w:type="dxa"/>
            <w:gridSpan w:val="2"/>
            <w:tcBorders>
              <w:top w:val="single" w:sz="4" w:space="0" w:color="auto"/>
              <w:left w:val="single" w:sz="4" w:space="0" w:color="auto"/>
              <w:bottom w:val="single" w:sz="4" w:space="0" w:color="auto"/>
              <w:right w:val="single" w:sz="4" w:space="0" w:color="auto"/>
            </w:tcBorders>
            <w:hideMark/>
          </w:tcPr>
          <w:p w:rsidR="008C5E28" w:rsidRPr="008C5E28" w:rsidP="008C5E28" w14:paraId="6E7F2B88" w14:textId="1DD11C57">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sidRPr="008C5E28">
              <w:rPr>
                <w:b/>
                <w:sz w:val="24"/>
                <w:lang w:val="lv-LV"/>
              </w:rPr>
              <w:t>Novērtēšanu veica:</w:t>
            </w:r>
            <w:r w:rsidRPr="008C5E28">
              <w:rPr>
                <w:sz w:val="24"/>
                <w:lang w:val="lv-LV"/>
              </w:rPr>
              <w:t xml:space="preserve"> </w:t>
            </w:r>
            <w:r>
              <w:rPr>
                <w:sz w:val="24"/>
                <w:lang w:val="lv-LV"/>
              </w:rPr>
              <w:t xml:space="preserve">12.04.2023. </w:t>
            </w:r>
            <w:r w:rsidRPr="008C5E28">
              <w:rPr>
                <w:sz w:val="24"/>
                <w:lang w:val="lv-LV"/>
              </w:rPr>
              <w:t xml:space="preserve">higiēnas ārste Anna Staņēviča un Rīgas Stradiņa universitātes studentes Sintija </w:t>
            </w:r>
            <w:r w:rsidRPr="008C5E28">
              <w:rPr>
                <w:sz w:val="24"/>
                <w:lang w:val="lv-LV"/>
              </w:rPr>
              <w:t>Rodze</w:t>
            </w:r>
            <w:r w:rsidRPr="008C5E28">
              <w:rPr>
                <w:sz w:val="24"/>
                <w:lang w:val="lv-LV"/>
              </w:rPr>
              <w:t xml:space="preserve">, Ieva Ivonna </w:t>
            </w:r>
            <w:r w:rsidRPr="008C5E28">
              <w:rPr>
                <w:sz w:val="24"/>
                <w:lang w:val="lv-LV"/>
              </w:rPr>
              <w:t>Skerškāne</w:t>
            </w:r>
            <w:r w:rsidRPr="008C5E28">
              <w:rPr>
                <w:sz w:val="24"/>
                <w:lang w:val="lv-LV"/>
              </w:rPr>
              <w:t xml:space="preserve">, Ērika </w:t>
            </w:r>
            <w:r w:rsidRPr="008C5E28">
              <w:rPr>
                <w:sz w:val="24"/>
                <w:lang w:val="lv-LV"/>
              </w:rPr>
              <w:t>Slobodina</w:t>
            </w:r>
            <w:r w:rsidRPr="008C5E28">
              <w:rPr>
                <w:sz w:val="24"/>
                <w:lang w:val="lv-LV"/>
              </w:rPr>
              <w:t xml:space="preserve">, Aurēlija </w:t>
            </w:r>
            <w:r w:rsidRPr="008C5E28">
              <w:rPr>
                <w:sz w:val="24"/>
                <w:lang w:val="lv-LV"/>
              </w:rPr>
              <w:t>Usačova</w:t>
            </w:r>
            <w:r w:rsidRPr="008C5E28">
              <w:rPr>
                <w:sz w:val="24"/>
                <w:lang w:val="lv-LV"/>
              </w:rPr>
              <w:t xml:space="preserve">, Karīna </w:t>
            </w:r>
            <w:r w:rsidRPr="008C5E28">
              <w:rPr>
                <w:sz w:val="24"/>
                <w:lang w:val="lv-LV"/>
              </w:rPr>
              <w:t>Venediktova</w:t>
            </w:r>
            <w:r w:rsidRPr="008C5E28">
              <w:rPr>
                <w:sz w:val="24"/>
                <w:lang w:val="lv-LV"/>
              </w:rPr>
              <w:t xml:space="preserve"> </w:t>
            </w:r>
          </w:p>
        </w:tc>
      </w:tr>
      <w:tr w14:paraId="67CE8943" w14:textId="77777777" w:rsidTr="008C5E28">
        <w:tblPrEx>
          <w:tblW w:w="9390" w:type="dxa"/>
          <w:tblInd w:w="108" w:type="dxa"/>
          <w:tblLayout w:type="fixed"/>
          <w:tblLook w:val="04A0"/>
        </w:tblPrEx>
        <w:tc>
          <w:tcPr>
            <w:tcW w:w="9390" w:type="dxa"/>
            <w:gridSpan w:val="2"/>
            <w:tcBorders>
              <w:top w:val="single" w:sz="4" w:space="0" w:color="auto"/>
              <w:left w:val="single" w:sz="4" w:space="0" w:color="auto"/>
              <w:bottom w:val="single" w:sz="4" w:space="0" w:color="auto"/>
              <w:right w:val="single" w:sz="4" w:space="0" w:color="auto"/>
            </w:tcBorders>
            <w:hideMark/>
          </w:tcPr>
          <w:p w:rsidR="008C5E28" w:rsidRPr="008C5E28" w:rsidP="008C5E28" w14:paraId="21C6EF14" w14:textId="73063B15">
            <w:pPr>
              <w:numPr>
                <w:ilvl w:val="0"/>
                <w:numId w:val="12"/>
              </w:numPr>
              <w:tabs>
                <w:tab w:val="left" w:pos="252"/>
                <w:tab w:val="left" w:pos="432"/>
                <w:tab w:val="left" w:pos="702"/>
                <w:tab w:val="left" w:pos="993"/>
              </w:tabs>
              <w:spacing w:before="60" w:after="60"/>
              <w:ind w:left="0" w:firstLine="0"/>
              <w:jc w:val="both"/>
              <w:textAlignment w:val="auto"/>
              <w:rPr>
                <w:sz w:val="24"/>
                <w:lang w:val="lv-LV"/>
              </w:rPr>
            </w:pPr>
            <w:r w:rsidRPr="008C5E28">
              <w:rPr>
                <w:b/>
                <w:sz w:val="24"/>
                <w:lang w:val="lv-LV"/>
              </w:rPr>
              <w:t>Novērtēšanā piedalījās</w:t>
            </w:r>
            <w:r w:rsidRPr="008C5E28">
              <w:rPr>
                <w:sz w:val="24"/>
                <w:lang w:val="lv-LV"/>
              </w:rPr>
              <w:t xml:space="preserve">: SIA “WE ARE VERY” </w:t>
            </w:r>
            <w:r>
              <w:rPr>
                <w:sz w:val="24"/>
                <w:lang w:val="lv-LV"/>
              </w:rPr>
              <w:t xml:space="preserve">projektu vadītāja </w:t>
            </w:r>
            <w:r w:rsidRPr="008C5E28">
              <w:rPr>
                <w:sz w:val="24"/>
                <w:szCs w:val="20"/>
                <w:lang w:val="lv-LV"/>
              </w:rPr>
              <w:t xml:space="preserve">Zanda Šķēle </w:t>
            </w:r>
          </w:p>
        </w:tc>
      </w:tr>
      <w:tr w14:paraId="30ED8FC8" w14:textId="77777777" w:rsidTr="008C5E28">
        <w:tblPrEx>
          <w:tblW w:w="9390" w:type="dxa"/>
          <w:tblInd w:w="108" w:type="dxa"/>
          <w:tblLayout w:type="fixed"/>
          <w:tblLook w:val="04A0"/>
        </w:tblPrEx>
        <w:tc>
          <w:tcPr>
            <w:tcW w:w="9390" w:type="dxa"/>
            <w:gridSpan w:val="2"/>
            <w:tcBorders>
              <w:top w:val="single" w:sz="4" w:space="0" w:color="auto"/>
              <w:left w:val="single" w:sz="4" w:space="0" w:color="auto"/>
              <w:bottom w:val="single" w:sz="4" w:space="0" w:color="auto"/>
              <w:right w:val="single" w:sz="4" w:space="0" w:color="auto"/>
            </w:tcBorders>
            <w:hideMark/>
          </w:tcPr>
          <w:p w:rsidR="008C5E28" w:rsidRPr="008C5E28" w:rsidP="008C5E28" w14:paraId="7974B59D" w14:textId="77777777">
            <w:pPr>
              <w:numPr>
                <w:ilvl w:val="0"/>
                <w:numId w:val="12"/>
              </w:numPr>
              <w:tabs>
                <w:tab w:val="left" w:pos="252"/>
                <w:tab w:val="left" w:pos="432"/>
                <w:tab w:val="left" w:pos="702"/>
                <w:tab w:val="left" w:pos="993"/>
              </w:tabs>
              <w:ind w:left="0" w:firstLine="0"/>
              <w:jc w:val="both"/>
              <w:textAlignment w:val="auto"/>
              <w:rPr>
                <w:b/>
                <w:sz w:val="24"/>
                <w:lang w:val="lv-LV"/>
              </w:rPr>
            </w:pPr>
            <w:r w:rsidRPr="008C5E28">
              <w:rPr>
                <w:b/>
                <w:sz w:val="24"/>
                <w:lang w:val="lv-LV"/>
              </w:rPr>
              <w:t>Konstatēts:</w:t>
            </w:r>
          </w:p>
          <w:p w:rsidR="008C5E28" w:rsidRPr="008C5E28" w:rsidP="008C5E28" w14:paraId="0D6845EB" w14:textId="77777777">
            <w:pPr>
              <w:tabs>
                <w:tab w:val="left" w:pos="252"/>
                <w:tab w:val="left" w:pos="432"/>
                <w:tab w:val="left" w:pos="702"/>
                <w:tab w:val="left" w:pos="993"/>
              </w:tabs>
              <w:jc w:val="both"/>
              <w:textAlignment w:val="auto"/>
              <w:rPr>
                <w:b/>
                <w:sz w:val="24"/>
                <w:lang w:val="lv-LV"/>
              </w:rPr>
            </w:pPr>
            <w:r w:rsidRPr="008C5E28">
              <w:rPr>
                <w:b/>
                <w:sz w:val="24"/>
                <w:lang w:val="lv-LV"/>
              </w:rPr>
              <w:t>6.1. Vispārīgās ziņas par objektu/ objekta raksturojums</w:t>
            </w:r>
          </w:p>
          <w:p w:rsidR="008C5E28" w:rsidRPr="008C5E28" w:rsidP="008C5E28" w14:paraId="744F01D7" w14:textId="77777777">
            <w:pPr>
              <w:jc w:val="both"/>
              <w:textAlignment w:val="auto"/>
              <w:rPr>
                <w:sz w:val="24"/>
                <w:lang w:val="lv-LV"/>
              </w:rPr>
            </w:pPr>
            <w:r w:rsidRPr="008C5E28">
              <w:rPr>
                <w:sz w:val="24"/>
                <w:lang w:val="lv-LV"/>
              </w:rPr>
              <w:t xml:space="preserve">   Bērnu dienas nometnes “Hobiju nedēļa”, “Zinātnieku nedēļa”, “Krāsainās dienas”, “Eksperimentu nedēļa”, “Triku nedēļa”, “Radošā nedēļa”, “Piedzīvojumu nedēļa”, “Pavāru nedēļa”, “Multfilmu nedēļa”, “Maģiskā nedēļa”, “Ceļojumu nedēļa”, “</w:t>
            </w:r>
            <w:r w:rsidRPr="008C5E28">
              <w:rPr>
                <w:sz w:val="24"/>
                <w:lang w:val="lv-LV"/>
              </w:rPr>
              <w:t>Gadžetu</w:t>
            </w:r>
            <w:r w:rsidRPr="008C5E28">
              <w:rPr>
                <w:sz w:val="24"/>
                <w:lang w:val="lv-LV"/>
              </w:rPr>
              <w:t xml:space="preserve"> nedēļa”, “Šausmu dienas” tiks organizētas biroja ēkas telpās laika posmā no </w:t>
            </w:r>
            <w:r w:rsidRPr="008C5E28">
              <w:rPr>
                <w:sz w:val="24"/>
                <w:lang w:val="lv-LV"/>
              </w:rPr>
              <w:t>no</w:t>
            </w:r>
            <w:r w:rsidRPr="008C5E28">
              <w:rPr>
                <w:sz w:val="24"/>
                <w:lang w:val="lv-LV"/>
              </w:rPr>
              <w:t xml:space="preserve"> 5.06.2023. līdz 09.06.2023., no 12.06.2023. līdz 16.06.2023., no 19.06.2023. līdz 22.06.2023., no 03.07.2023. līdz 07.07.2023., no 10.07.2023. līdz 14.07.2023.,  no 17.07.2023. līdz 21.07.2023., no 24.07.2023. līdz 28.07.2023., no 31.07.2023. līdz 04.08.2023., no 07.08.2023. līdz 11.08.2023., no 14.08.2023. līdz 18.08.2023., no 21.08.2023. līdz 25.08.2023., no 28.08.2023. līdz 31.08.2023. Plānotais bērnu skaits nometnē - līdz 30 bērniem vecumā no 5 līdz 10 gadiem. </w:t>
            </w:r>
          </w:p>
          <w:p w:rsidR="008C5E28" w:rsidRPr="008C5E28" w:rsidP="008C5E28" w14:paraId="16067B29" w14:textId="77777777">
            <w:pPr>
              <w:jc w:val="both"/>
              <w:textAlignment w:val="auto"/>
              <w:rPr>
                <w:sz w:val="24"/>
                <w:lang w:val="lv-LV"/>
              </w:rPr>
            </w:pPr>
            <w:r w:rsidRPr="008C5E28">
              <w:rPr>
                <w:sz w:val="24"/>
                <w:lang w:val="lv-LV"/>
              </w:rPr>
              <w:t xml:space="preserve">   Nometnes rīkošanai paredzēts izmantot nedzīvojamās telpas ar kopējo platību - 352 m</w:t>
            </w:r>
            <w:r w:rsidRPr="008C5E28">
              <w:rPr>
                <w:sz w:val="24"/>
                <w:vertAlign w:val="superscript"/>
                <w:lang w:val="lv-LV"/>
              </w:rPr>
              <w:t>2</w:t>
            </w:r>
            <w:r w:rsidRPr="008C5E28">
              <w:rPr>
                <w:sz w:val="24"/>
                <w:lang w:val="lv-LV"/>
              </w:rPr>
              <w:t>. Nometnes veids - radošo nodarbību nometne. Iznomājamās telpas atrodas sabiedriskās ēkas 1. stāvā.  Nometņu laikā tiks izmantoti ēkas sanitārie mezgli, nodarbību telpas, kā arī  personāla/administrācijas telpas. Nometnes laikā plānotas arī aktivitātes svaigā gaisā. Pēc nepieciešamības tiks organizēta arī ēdināšana - tiks noslēgts līgums ar ēdienu piegādātāju.</w:t>
            </w:r>
          </w:p>
          <w:p w:rsidR="008C5E28" w:rsidRPr="008C5E28" w:rsidP="008C5E28" w14:paraId="11AF96A9" w14:textId="77777777">
            <w:pPr>
              <w:jc w:val="both"/>
              <w:textAlignment w:val="auto"/>
              <w:rPr>
                <w:sz w:val="24"/>
                <w:lang w:val="lv-LV"/>
              </w:rPr>
            </w:pPr>
            <w:r w:rsidRPr="008C5E28">
              <w:rPr>
                <w:sz w:val="24"/>
                <w:lang w:val="lv-LV"/>
              </w:rPr>
              <w:t xml:space="preserve">   Nometņu telpas ir piemērotas nometnes vajadzībām. Telpu higiēniskais stāvoklis ir apmierinošs. Sanitārajos mezglos ir nodrošināti personīgās higiēnas ievērošanas apstākļi, iekārtas atrodas darba kārtībā. </w:t>
            </w:r>
          </w:p>
          <w:p w:rsidR="008C5E28" w:rsidRPr="008C5E28" w:rsidP="008C5E28" w14:paraId="18337ECE" w14:textId="77777777">
            <w:pPr>
              <w:jc w:val="both"/>
              <w:textAlignment w:val="auto"/>
              <w:rPr>
                <w:sz w:val="24"/>
                <w:lang w:val="lv-LV"/>
              </w:rPr>
            </w:pPr>
            <w:r w:rsidRPr="008C5E28">
              <w:rPr>
                <w:sz w:val="24"/>
                <w:lang w:val="lv-LV"/>
              </w:rPr>
              <w:t xml:space="preserve">   Nometnes vadītājs Māris Šķēle (bērnu un jauniešu nometņu vadītājas apliecība Nr. 116-01089), tel. 26333433. </w:t>
            </w:r>
          </w:p>
          <w:p w:rsidR="008C5E28" w:rsidRPr="008C5E28" w:rsidP="008C5E28" w14:paraId="0A945B2A" w14:textId="77777777">
            <w:pPr>
              <w:overflowPunct/>
              <w:autoSpaceDE/>
              <w:adjustRightInd/>
              <w:ind w:right="6"/>
              <w:jc w:val="both"/>
              <w:textAlignment w:val="auto"/>
              <w:rPr>
                <w:b/>
                <w:sz w:val="24"/>
                <w:lang w:val="lv-LV"/>
              </w:rPr>
            </w:pPr>
            <w:r w:rsidRPr="008C5E28">
              <w:rPr>
                <w:b/>
                <w:sz w:val="24"/>
                <w:lang w:val="lv-LV"/>
              </w:rPr>
              <w:t xml:space="preserve">6.2. Iekštelpu virsmu apdare    </w:t>
            </w:r>
          </w:p>
          <w:p w:rsidR="008C5E28" w:rsidRPr="008C5E28" w:rsidP="008C5E28" w14:paraId="787A01D1" w14:textId="77777777">
            <w:pPr>
              <w:overflowPunct/>
              <w:autoSpaceDE/>
              <w:adjustRightInd/>
              <w:ind w:right="6"/>
              <w:jc w:val="both"/>
              <w:textAlignment w:val="auto"/>
              <w:rPr>
                <w:sz w:val="24"/>
                <w:lang w:val="lv-LV"/>
              </w:rPr>
            </w:pPr>
            <w:r w:rsidRPr="008C5E28">
              <w:rPr>
                <w:sz w:val="24"/>
                <w:lang w:val="lv-LV"/>
              </w:rPr>
              <w:t xml:space="preserve">   </w:t>
            </w:r>
            <w:r w:rsidRPr="008C5E28">
              <w:rPr>
                <w:sz w:val="24"/>
                <w:szCs w:val="20"/>
                <w:lang w:val="lv-LV"/>
              </w:rPr>
              <w:t>Telpu apdarei izmantoti apdares materiāli atbilstoši telpu funkcijām.</w:t>
            </w:r>
          </w:p>
          <w:p w:rsidR="008C5E28" w:rsidRPr="008C5E28" w:rsidP="008C5E28" w14:paraId="7BA4AB87" w14:textId="77777777">
            <w:pPr>
              <w:overflowPunct/>
              <w:autoSpaceDE/>
              <w:adjustRightInd/>
              <w:jc w:val="both"/>
              <w:textAlignment w:val="auto"/>
              <w:rPr>
                <w:b/>
                <w:sz w:val="24"/>
                <w:lang w:val="lv-LV"/>
              </w:rPr>
            </w:pPr>
            <w:r w:rsidRPr="008C5E28">
              <w:rPr>
                <w:b/>
                <w:sz w:val="24"/>
                <w:lang w:val="lv-LV"/>
              </w:rPr>
              <w:t xml:space="preserve">6.3. Apgaismojums </w:t>
            </w:r>
          </w:p>
          <w:p w:rsidR="008C5E28" w:rsidRPr="008C5E28" w:rsidP="008C5E28" w14:paraId="77555CF1" w14:textId="77777777">
            <w:pPr>
              <w:overflowPunct/>
              <w:autoSpaceDE/>
              <w:adjustRightInd/>
              <w:ind w:right="6"/>
              <w:jc w:val="both"/>
              <w:textAlignment w:val="auto"/>
              <w:rPr>
                <w:sz w:val="24"/>
                <w:szCs w:val="20"/>
                <w:lang w:val="lv-LV"/>
              </w:rPr>
            </w:pPr>
            <w:r w:rsidRPr="008C5E28">
              <w:rPr>
                <w:sz w:val="24"/>
                <w:lang w:val="lv-LV"/>
              </w:rPr>
              <w:t xml:space="preserve">   </w:t>
            </w:r>
            <w:r w:rsidRPr="008C5E28">
              <w:rPr>
                <w:sz w:val="24"/>
                <w:szCs w:val="20"/>
                <w:lang w:val="lv-LV"/>
              </w:rPr>
              <w:t>Visās funkcionālās nometnes telpās ir dabiskais un mākslīgais apgaismojums. Pārējās telpās – tikai mākslīgais apgaismojums</w:t>
            </w:r>
          </w:p>
          <w:p w:rsidR="008C5E28" w:rsidRPr="008C5E28" w:rsidP="008C5E28" w14:paraId="20DB6FFB" w14:textId="77777777">
            <w:pPr>
              <w:overflowPunct/>
              <w:autoSpaceDE/>
              <w:adjustRightInd/>
              <w:jc w:val="both"/>
              <w:textAlignment w:val="auto"/>
              <w:rPr>
                <w:b/>
                <w:sz w:val="24"/>
                <w:lang w:val="lv-LV"/>
              </w:rPr>
            </w:pPr>
            <w:r w:rsidRPr="008C5E28">
              <w:rPr>
                <w:b/>
                <w:sz w:val="24"/>
                <w:lang w:val="lv-LV"/>
              </w:rPr>
              <w:t xml:space="preserve">6.4. Siltumapgāde      </w:t>
            </w:r>
          </w:p>
          <w:p w:rsidR="008C5E28" w:rsidRPr="008C5E28" w:rsidP="008C5E28" w14:paraId="1D63AF5A" w14:textId="77777777">
            <w:pPr>
              <w:overflowPunct/>
              <w:autoSpaceDE/>
              <w:adjustRightInd/>
              <w:jc w:val="both"/>
              <w:textAlignment w:val="auto"/>
              <w:rPr>
                <w:b/>
                <w:sz w:val="24"/>
                <w:lang w:val="lv-LV"/>
              </w:rPr>
            </w:pPr>
            <w:r w:rsidRPr="008C5E28">
              <w:rPr>
                <w:sz w:val="24"/>
                <w:lang w:val="lv-LV"/>
              </w:rPr>
              <w:t xml:space="preserve">   Ēkas apkure no Rīgas pilsētas centralizētiem tīkliem.</w:t>
            </w:r>
          </w:p>
          <w:p w:rsidR="008C5E28" w:rsidRPr="008C5E28" w:rsidP="008C5E28" w14:paraId="144AC7E5" w14:textId="77777777">
            <w:pPr>
              <w:overflowPunct/>
              <w:autoSpaceDE/>
              <w:adjustRightInd/>
              <w:jc w:val="both"/>
              <w:textAlignment w:val="auto"/>
              <w:rPr>
                <w:b/>
                <w:sz w:val="24"/>
                <w:lang w:val="lv-LV"/>
              </w:rPr>
            </w:pPr>
            <w:r w:rsidRPr="008C5E28">
              <w:rPr>
                <w:b/>
                <w:sz w:val="24"/>
                <w:lang w:val="lv-LV"/>
              </w:rPr>
              <w:t xml:space="preserve">6.5. Gaisa apmaiņa </w:t>
            </w:r>
          </w:p>
          <w:p w:rsidR="008C5E28" w:rsidRPr="008C5E28" w:rsidP="008C5E28" w14:paraId="13E35883" w14:textId="77777777">
            <w:pPr>
              <w:overflowPunct/>
              <w:autoSpaceDE/>
              <w:adjustRightInd/>
              <w:jc w:val="both"/>
              <w:textAlignment w:val="auto"/>
              <w:rPr>
                <w:sz w:val="24"/>
                <w:lang w:val="lv-LV"/>
              </w:rPr>
            </w:pPr>
            <w:r w:rsidRPr="008C5E28">
              <w:rPr>
                <w:sz w:val="24"/>
                <w:lang w:val="lv-LV"/>
              </w:rPr>
              <w:t xml:space="preserve">   Visām telpām paredzēta dabiskā ventilācija caur veramiem logiem un durvīm un </w:t>
            </w:r>
            <w:r w:rsidRPr="008C5E28">
              <w:rPr>
                <w:szCs w:val="20"/>
                <w:lang w:val="lv-LV"/>
              </w:rPr>
              <w:t xml:space="preserve"> </w:t>
            </w:r>
            <w:r w:rsidRPr="008C5E28">
              <w:rPr>
                <w:sz w:val="24"/>
                <w:lang w:val="lv-LV"/>
              </w:rPr>
              <w:t>mehāniskā pieplūdes-</w:t>
            </w:r>
            <w:r w:rsidRPr="008C5E28">
              <w:rPr>
                <w:sz w:val="24"/>
                <w:lang w:val="lv-LV"/>
              </w:rPr>
              <w:t>nosūces</w:t>
            </w:r>
            <w:r w:rsidRPr="008C5E28">
              <w:rPr>
                <w:sz w:val="24"/>
                <w:lang w:val="lv-LV"/>
              </w:rPr>
              <w:t xml:space="preserve"> ventilācijas sistēma, sanitārajos mezglos – dabiskā </w:t>
            </w:r>
            <w:r w:rsidRPr="008C5E28">
              <w:rPr>
                <w:sz w:val="24"/>
                <w:lang w:val="lv-LV"/>
              </w:rPr>
              <w:t>nosūce</w:t>
            </w:r>
            <w:r w:rsidRPr="008C5E28">
              <w:rPr>
                <w:sz w:val="24"/>
                <w:lang w:val="lv-LV"/>
              </w:rPr>
              <w:t xml:space="preserve">. </w:t>
            </w:r>
          </w:p>
          <w:p w:rsidR="008C5E28" w:rsidRPr="008C5E28" w:rsidP="008C5E28" w14:paraId="13C75589" w14:textId="77777777">
            <w:pPr>
              <w:overflowPunct/>
              <w:autoSpaceDE/>
              <w:adjustRightInd/>
              <w:jc w:val="both"/>
              <w:textAlignment w:val="auto"/>
              <w:rPr>
                <w:b/>
                <w:sz w:val="24"/>
                <w:lang w:val="lv-LV"/>
              </w:rPr>
            </w:pPr>
            <w:r w:rsidRPr="008C5E28">
              <w:rPr>
                <w:b/>
                <w:sz w:val="24"/>
                <w:lang w:val="lv-LV"/>
              </w:rPr>
              <w:t xml:space="preserve">6.6. Ūdens apgāde </w:t>
            </w:r>
          </w:p>
          <w:p w:rsidR="008C5E28" w:rsidRPr="008C5E28" w:rsidP="008C5E28" w14:paraId="6129283B" w14:textId="77777777">
            <w:pPr>
              <w:overflowPunct/>
              <w:autoSpaceDE/>
              <w:adjustRightInd/>
              <w:jc w:val="both"/>
              <w:textAlignment w:val="auto"/>
              <w:rPr>
                <w:sz w:val="24"/>
                <w:lang w:val="lv-LV"/>
              </w:rPr>
            </w:pPr>
            <w:r w:rsidRPr="008C5E28">
              <w:rPr>
                <w:sz w:val="24"/>
                <w:lang w:val="lv-LV"/>
              </w:rPr>
              <w:t xml:space="preserve">   Ēkas karstā un aukstā ūdens apgādes sistēmas ar </w:t>
            </w:r>
            <w:r w:rsidRPr="008C5E28">
              <w:rPr>
                <w:sz w:val="24"/>
                <w:lang w:val="lv-LV"/>
              </w:rPr>
              <w:t>pieslēgumu</w:t>
            </w:r>
            <w:r w:rsidRPr="008C5E28">
              <w:rPr>
                <w:sz w:val="24"/>
                <w:lang w:val="lv-LV"/>
              </w:rPr>
              <w:t xml:space="preserve"> Rīgas pilsētas centralizētiem pilsētas tīkliem.</w:t>
            </w:r>
          </w:p>
          <w:p w:rsidR="008C5E28" w:rsidRPr="008C5E28" w:rsidP="008C5E28" w14:paraId="02F959DF" w14:textId="77777777">
            <w:pPr>
              <w:overflowPunct/>
              <w:autoSpaceDE/>
              <w:adjustRightInd/>
              <w:jc w:val="both"/>
              <w:textAlignment w:val="auto"/>
              <w:rPr>
                <w:b/>
                <w:sz w:val="24"/>
                <w:lang w:val="lv-LV"/>
              </w:rPr>
            </w:pPr>
            <w:r w:rsidRPr="008C5E28">
              <w:rPr>
                <w:b/>
                <w:sz w:val="24"/>
                <w:lang w:val="lv-LV"/>
              </w:rPr>
              <w:t>6.7. Kanalizācijas sistēma</w:t>
            </w:r>
          </w:p>
          <w:p w:rsidR="008C5E28" w:rsidRPr="008C5E28" w:rsidP="008C5E28" w14:paraId="32F96BD9" w14:textId="77777777">
            <w:pPr>
              <w:overflowPunct/>
              <w:autoSpaceDE/>
              <w:adjustRightInd/>
              <w:jc w:val="both"/>
              <w:textAlignment w:val="auto"/>
              <w:rPr>
                <w:b/>
                <w:sz w:val="24"/>
                <w:lang w:val="lv-LV"/>
              </w:rPr>
            </w:pPr>
            <w:r w:rsidRPr="008C5E28">
              <w:rPr>
                <w:sz w:val="24"/>
                <w:lang w:val="lv-LV"/>
              </w:rPr>
              <w:t xml:space="preserve">   Ēkas kanalizācija – ar </w:t>
            </w:r>
            <w:r w:rsidRPr="008C5E28">
              <w:rPr>
                <w:sz w:val="24"/>
                <w:lang w:val="lv-LV"/>
              </w:rPr>
              <w:t>pieslēgumu</w:t>
            </w:r>
            <w:r w:rsidRPr="008C5E28">
              <w:rPr>
                <w:sz w:val="24"/>
                <w:lang w:val="lv-LV"/>
              </w:rPr>
              <w:t xml:space="preserve"> pilsētas centralizētiem tīkliem.</w:t>
            </w:r>
          </w:p>
          <w:p w:rsidR="008C5E28" w:rsidRPr="008C5E28" w:rsidP="008C5E28" w14:paraId="25AB2147" w14:textId="77777777">
            <w:pPr>
              <w:jc w:val="both"/>
              <w:textAlignment w:val="auto"/>
              <w:rPr>
                <w:b/>
                <w:sz w:val="24"/>
                <w:lang w:val="lv-LV"/>
              </w:rPr>
            </w:pPr>
            <w:r w:rsidRPr="008C5E28">
              <w:rPr>
                <w:b/>
                <w:sz w:val="24"/>
                <w:lang w:val="lv-LV"/>
              </w:rPr>
              <w:t xml:space="preserve">6.8.Teritorijas labiekārtošana     </w:t>
            </w:r>
          </w:p>
          <w:p w:rsidR="008C5E28" w:rsidRPr="008C5E28" w:rsidP="008C5E28" w14:paraId="3128692D" w14:textId="77777777">
            <w:pPr>
              <w:overflowPunct/>
              <w:autoSpaceDE/>
              <w:adjustRightInd/>
              <w:jc w:val="both"/>
              <w:textAlignment w:val="auto"/>
              <w:rPr>
                <w:i/>
                <w:spacing w:val="-2"/>
                <w:sz w:val="24"/>
                <w:lang w:val="lv-LV"/>
              </w:rPr>
            </w:pPr>
            <w:r w:rsidRPr="008C5E28">
              <w:rPr>
                <w:sz w:val="24"/>
                <w:lang w:val="lv-LV"/>
              </w:rPr>
              <w:t xml:space="preserve">   </w:t>
            </w:r>
            <w:r w:rsidRPr="008C5E28">
              <w:rPr>
                <w:sz w:val="24"/>
                <w:szCs w:val="20"/>
                <w:lang w:val="lv-LV"/>
              </w:rPr>
              <w:t>Ēkai piegulošā teritorija ir labiekārtota.</w:t>
            </w:r>
            <w:r w:rsidRPr="008C5E28">
              <w:rPr>
                <w:sz w:val="24"/>
                <w:lang w:val="lv-LV"/>
              </w:rPr>
              <w:t xml:space="preserve"> </w:t>
            </w:r>
          </w:p>
          <w:p w:rsidR="008C5E28" w:rsidRPr="008C5E28" w:rsidP="008C5E28" w14:paraId="7657A8A7" w14:textId="77777777">
            <w:pPr>
              <w:overflowPunct/>
              <w:autoSpaceDE/>
              <w:adjustRightInd/>
              <w:jc w:val="both"/>
              <w:textAlignment w:val="auto"/>
              <w:rPr>
                <w:b/>
                <w:sz w:val="24"/>
                <w:lang w:val="lv-LV"/>
              </w:rPr>
            </w:pPr>
            <w:r w:rsidRPr="008C5E28">
              <w:rPr>
                <w:b/>
                <w:sz w:val="24"/>
                <w:lang w:val="lv-LV"/>
              </w:rPr>
              <w:t xml:space="preserve">6.9. Vides pieejamība     </w:t>
            </w:r>
          </w:p>
          <w:p w:rsidR="008C5E28" w:rsidRPr="008C5E28" w:rsidP="008C5E28" w14:paraId="1BEE0F8C" w14:textId="77777777">
            <w:pPr>
              <w:adjustRightInd/>
              <w:jc w:val="both"/>
              <w:textAlignment w:val="auto"/>
              <w:rPr>
                <w:sz w:val="24"/>
                <w:lang w:val="lv-LV"/>
              </w:rPr>
            </w:pPr>
            <w:r w:rsidRPr="008C5E28">
              <w:rPr>
                <w:sz w:val="24"/>
                <w:lang w:val="lv-LV"/>
              </w:rPr>
              <w:t xml:space="preserve">   </w:t>
            </w:r>
            <w:r w:rsidRPr="008C5E28">
              <w:rPr>
                <w:sz w:val="24"/>
                <w:szCs w:val="20"/>
                <w:lang w:val="lv-LV"/>
              </w:rPr>
              <w:t>Nav paredzēta.</w:t>
            </w:r>
          </w:p>
          <w:p w:rsidR="008C5E28" w:rsidRPr="008C5E28" w:rsidP="008C5E28" w14:paraId="16D73186" w14:textId="77777777">
            <w:pPr>
              <w:adjustRightInd/>
              <w:jc w:val="both"/>
              <w:textAlignment w:val="auto"/>
              <w:rPr>
                <w:b/>
                <w:sz w:val="24"/>
                <w:lang w:val="lv-LV"/>
              </w:rPr>
            </w:pPr>
            <w:r w:rsidRPr="008C5E28">
              <w:rPr>
                <w:b/>
                <w:sz w:val="24"/>
                <w:lang w:val="lv-LV"/>
              </w:rPr>
              <w:t xml:space="preserve">6.10.Riska faktoru novērtēšana un cita informācija </w:t>
            </w:r>
          </w:p>
          <w:p w:rsidR="008C5E28" w:rsidRPr="008C5E28" w:rsidP="008C5E28" w14:paraId="589395FA" w14:textId="77777777">
            <w:pPr>
              <w:adjustRightInd/>
              <w:jc w:val="both"/>
              <w:textAlignment w:val="auto"/>
              <w:rPr>
                <w:sz w:val="24"/>
                <w:lang w:val="lv-LV"/>
              </w:rPr>
            </w:pPr>
            <w:r w:rsidRPr="008C5E28">
              <w:rPr>
                <w:sz w:val="24"/>
                <w:lang w:val="lv-LV"/>
              </w:rPr>
              <w:t xml:space="preserve">   Nav nepieciešama.</w:t>
            </w:r>
          </w:p>
        </w:tc>
      </w:tr>
      <w:tr w14:paraId="651B4B01" w14:textId="77777777" w:rsidTr="008C5E28">
        <w:tblPrEx>
          <w:tblW w:w="9390" w:type="dxa"/>
          <w:tblInd w:w="108" w:type="dxa"/>
          <w:tblLayout w:type="fixed"/>
          <w:tblLook w:val="04A0"/>
        </w:tblPrEx>
        <w:tc>
          <w:tcPr>
            <w:tcW w:w="9390" w:type="dxa"/>
            <w:gridSpan w:val="2"/>
            <w:tcBorders>
              <w:top w:val="single" w:sz="4" w:space="0" w:color="auto"/>
              <w:left w:val="single" w:sz="4" w:space="0" w:color="auto"/>
              <w:bottom w:val="single" w:sz="4" w:space="0" w:color="auto"/>
              <w:right w:val="single" w:sz="4" w:space="0" w:color="auto"/>
            </w:tcBorders>
          </w:tcPr>
          <w:p w:rsidR="008C5E28" w:rsidRPr="008C5E28" w:rsidP="008C5E28" w14:paraId="24B1BE14" w14:textId="77777777">
            <w:pPr>
              <w:tabs>
                <w:tab w:val="left" w:pos="993"/>
              </w:tabs>
              <w:jc w:val="both"/>
              <w:textAlignment w:val="auto"/>
              <w:rPr>
                <w:b/>
                <w:caps/>
                <w:sz w:val="24"/>
                <w:lang w:val="lv-LV"/>
              </w:rPr>
            </w:pPr>
            <w:r w:rsidRPr="008C5E28">
              <w:rPr>
                <w:b/>
                <w:caps/>
                <w:sz w:val="24"/>
                <w:lang w:val="lv-LV"/>
              </w:rPr>
              <w:t>7</w:t>
            </w:r>
            <w:r w:rsidRPr="008C5E28">
              <w:rPr>
                <w:caps/>
                <w:sz w:val="24"/>
                <w:lang w:val="lv-LV"/>
              </w:rPr>
              <w:t>.</w:t>
            </w:r>
            <w:r w:rsidRPr="008C5E28">
              <w:rPr>
                <w:b/>
                <w:caps/>
                <w:sz w:val="24"/>
                <w:lang w:val="lv-LV"/>
              </w:rPr>
              <w:t xml:space="preserve"> Slēdziens </w:t>
            </w:r>
          </w:p>
          <w:p w:rsidR="008C5E28" w:rsidRPr="008C5E28" w:rsidP="008C5E28" w14:paraId="51D5D79C" w14:textId="77777777">
            <w:pPr>
              <w:tabs>
                <w:tab w:val="left" w:pos="993"/>
              </w:tabs>
              <w:jc w:val="both"/>
              <w:textAlignment w:val="auto"/>
              <w:rPr>
                <w:bCs/>
                <w:sz w:val="4"/>
                <w:szCs w:val="4"/>
                <w:lang w:val="lv-LV"/>
              </w:rPr>
            </w:pPr>
            <w:r w:rsidRPr="008C5E28">
              <w:rPr>
                <w:bCs/>
                <w:sz w:val="24"/>
                <w:lang w:val="lv-LV"/>
              </w:rPr>
              <w:t xml:space="preserve">   Objekts </w:t>
            </w:r>
            <w:r w:rsidRPr="008C5E28">
              <w:rPr>
                <w:sz w:val="24"/>
                <w:lang w:val="lv-LV"/>
              </w:rPr>
              <w:t>„</w:t>
            </w:r>
            <w:r w:rsidRPr="008C5E28">
              <w:rPr>
                <w:szCs w:val="20"/>
                <w:lang w:val="lv-LV"/>
              </w:rPr>
              <w:t xml:space="preserve"> </w:t>
            </w:r>
            <w:r w:rsidRPr="008C5E28">
              <w:rPr>
                <w:sz w:val="24"/>
                <w:lang w:val="lv-LV"/>
              </w:rPr>
              <w:t xml:space="preserve">Objekts „Bērnu dienas nometnes “Hobiju nedēļa”, “Zinātnieku nedēļa”, “Krāsainās dienas”, “Eksperimentu nedēļa”, “Triku nedēļa”, “Radošā nedēļa”, “Piedzīvojumu nedēļa”, “Pavāru nedēļa”, “Multfilmu nedēļa”, “Maģiskā </w:t>
            </w:r>
            <w:r w:rsidRPr="008C5E28">
              <w:rPr>
                <w:sz w:val="24"/>
                <w:lang w:val="lv-LV"/>
              </w:rPr>
              <w:t>nedāļa</w:t>
            </w:r>
            <w:r w:rsidRPr="008C5E28">
              <w:rPr>
                <w:sz w:val="24"/>
                <w:lang w:val="lv-LV"/>
              </w:rPr>
              <w:t>”, “Ceļojumu nedēļa”, “</w:t>
            </w:r>
            <w:r w:rsidRPr="008C5E28">
              <w:rPr>
                <w:sz w:val="24"/>
                <w:lang w:val="lv-LV"/>
              </w:rPr>
              <w:t>Gadžetu</w:t>
            </w:r>
            <w:r w:rsidRPr="008C5E28">
              <w:rPr>
                <w:sz w:val="24"/>
                <w:lang w:val="lv-LV"/>
              </w:rPr>
              <w:t xml:space="preserve"> nedēļa”, “Šausmu dienas”” Krišjāņa Valdemāra ielā 8, Rīgā </w:t>
            </w:r>
            <w:r w:rsidRPr="008C5E28">
              <w:rPr>
                <w:sz w:val="24"/>
                <w:u w:val="single"/>
                <w:lang w:val="lv-LV"/>
              </w:rPr>
              <w:t>atbilst</w:t>
            </w:r>
            <w:r w:rsidRPr="008C5E28">
              <w:rPr>
                <w:sz w:val="24"/>
                <w:lang w:val="lv-LV"/>
              </w:rPr>
              <w:t xml:space="preserve"> higiēnas prasībām.</w:t>
            </w:r>
            <w:r w:rsidRPr="008C5E28">
              <w:rPr>
                <w:bCs/>
                <w:sz w:val="24"/>
                <w:lang w:val="lv-LV"/>
              </w:rPr>
              <w:t xml:space="preserve"> </w:t>
            </w:r>
          </w:p>
          <w:p w:rsidR="008C5E28" w:rsidRPr="008C5E28" w:rsidP="008C5E28" w14:paraId="13BD6D6B" w14:textId="77777777">
            <w:pPr>
              <w:tabs>
                <w:tab w:val="left" w:pos="993"/>
              </w:tabs>
              <w:jc w:val="both"/>
              <w:textAlignment w:val="auto"/>
              <w:rPr>
                <w:b/>
                <w:caps/>
                <w:sz w:val="4"/>
                <w:szCs w:val="4"/>
                <w:lang w:val="lv-LV"/>
              </w:rPr>
            </w:pPr>
          </w:p>
        </w:tc>
      </w:tr>
      <w:tr w14:paraId="0B916D52" w14:textId="77777777" w:rsidTr="008C5E28">
        <w:tblPrEx>
          <w:tblW w:w="9390" w:type="dxa"/>
          <w:tblInd w:w="108" w:type="dxa"/>
          <w:tblLayout w:type="fixed"/>
          <w:tblLook w:val="04A0"/>
        </w:tblPrEx>
        <w:tc>
          <w:tcPr>
            <w:tcW w:w="9390" w:type="dxa"/>
            <w:gridSpan w:val="2"/>
            <w:tcBorders>
              <w:top w:val="single" w:sz="4" w:space="0" w:color="auto"/>
              <w:left w:val="single" w:sz="4" w:space="0" w:color="auto"/>
              <w:bottom w:val="single" w:sz="4" w:space="0" w:color="auto"/>
              <w:right w:val="single" w:sz="4" w:space="0" w:color="auto"/>
            </w:tcBorders>
            <w:hideMark/>
          </w:tcPr>
          <w:p w:rsidR="008C5E28" w:rsidRPr="008C5E28" w:rsidP="008C5E28" w14:paraId="63195AD9" w14:textId="77777777">
            <w:pPr>
              <w:numPr>
                <w:ilvl w:val="0"/>
                <w:numId w:val="15"/>
              </w:numPr>
              <w:tabs>
                <w:tab w:val="left" w:pos="342"/>
                <w:tab w:val="left" w:pos="993"/>
              </w:tabs>
              <w:spacing w:before="60" w:after="60"/>
              <w:ind w:left="0" w:firstLine="72"/>
              <w:jc w:val="both"/>
              <w:textAlignment w:val="auto"/>
              <w:rPr>
                <w:b/>
                <w:sz w:val="24"/>
                <w:lang w:val="lv-LV"/>
              </w:rPr>
            </w:pPr>
            <w:r w:rsidRPr="008C5E28">
              <w:rPr>
                <w:b/>
                <w:sz w:val="24"/>
                <w:lang w:val="lv-LV"/>
              </w:rPr>
              <w:t xml:space="preserve">Rekomendējamie pasākumi </w:t>
            </w:r>
          </w:p>
          <w:p w:rsidR="008C5E28" w:rsidRPr="008C5E28" w:rsidP="008C5E28" w14:paraId="5EBF2FD7" w14:textId="77777777">
            <w:pPr>
              <w:tabs>
                <w:tab w:val="left" w:pos="342"/>
                <w:tab w:val="left" w:pos="993"/>
              </w:tabs>
              <w:jc w:val="both"/>
              <w:textAlignment w:val="auto"/>
              <w:rPr>
                <w:sz w:val="24"/>
                <w:lang w:val="lv-LV"/>
              </w:rPr>
            </w:pPr>
            <w:r w:rsidRPr="008C5E28">
              <w:rPr>
                <w:sz w:val="24"/>
                <w:lang w:val="lv-LV"/>
              </w:rPr>
              <w:t xml:space="preserve">   Objekta darbības laikā ievērot:</w:t>
            </w:r>
          </w:p>
          <w:p w:rsidR="008C5E28" w:rsidRPr="008C5E28" w:rsidP="008C5E28" w14:paraId="679B325B" w14:textId="77777777">
            <w:pPr>
              <w:tabs>
                <w:tab w:val="left" w:pos="342"/>
                <w:tab w:val="left" w:pos="993"/>
              </w:tabs>
              <w:jc w:val="both"/>
              <w:textAlignment w:val="auto"/>
              <w:rPr>
                <w:sz w:val="24"/>
                <w:lang w:val="lv-LV"/>
              </w:rPr>
            </w:pPr>
            <w:r w:rsidRPr="008C5E28">
              <w:rPr>
                <w:sz w:val="24"/>
                <w:lang w:val="lv-LV"/>
              </w:rPr>
              <w:t>- Ministru kabineta 28.09.2021. noteikumu Nr. 662 “Epidemioloģiskās drošības pasākumi Covid-19 infekcijas izplatības ierobežošanai” prasības;</w:t>
            </w:r>
          </w:p>
          <w:p w:rsidR="008C5E28" w:rsidRPr="008C5E28" w:rsidP="008C5E28" w14:paraId="47E7B270" w14:textId="77777777">
            <w:pPr>
              <w:tabs>
                <w:tab w:val="left" w:pos="342"/>
                <w:tab w:val="left" w:pos="993"/>
              </w:tabs>
              <w:jc w:val="both"/>
              <w:textAlignment w:val="auto"/>
              <w:rPr>
                <w:sz w:val="24"/>
                <w:lang w:val="lv-LV"/>
              </w:rPr>
            </w:pPr>
            <w:r w:rsidRPr="008C5E28">
              <w:rPr>
                <w:sz w:val="24"/>
                <w:lang w:val="lv-LV"/>
              </w:rPr>
              <w:t xml:space="preserve">- pirms darbības uzsākšanas visām personām, kuru darbs ir tieši saistīts ar iespējamu   risku cilvēku veselībai, ir jāsaņem ārsta atļauju darbam, ievērojot 24.07.2018. MK noteikumus Nr. 447 “Noteikumi par darbiem, kas saistīti ar iespējamu risku citu cilvēku veselībai, un obligāto veselības pārbaužu veikšanas kārtība; </w:t>
            </w:r>
          </w:p>
          <w:p w:rsidR="008C5E28" w:rsidRPr="008C5E28" w:rsidP="008C5E28" w14:paraId="1EB54350" w14:textId="77777777">
            <w:pPr>
              <w:tabs>
                <w:tab w:val="left" w:pos="342"/>
                <w:tab w:val="left" w:pos="993"/>
              </w:tabs>
              <w:jc w:val="both"/>
              <w:textAlignment w:val="auto"/>
              <w:rPr>
                <w:sz w:val="24"/>
                <w:lang w:val="lv-LV"/>
              </w:rPr>
            </w:pPr>
            <w:r w:rsidRPr="008C5E28">
              <w:rPr>
                <w:sz w:val="24"/>
                <w:lang w:val="lv-LV"/>
              </w:rPr>
              <w:t>- ar Veselības ministriju 07.04.2022. saskaņotās „Vadlīnijas piesardzības pasākumiem bērnu nometņu organizētājiem” un regulāri sekot līdzi vadlīniju papildinājumiem un/vai atjauninājumiem;</w:t>
            </w:r>
          </w:p>
          <w:p w:rsidR="008C5E28" w:rsidRPr="008C5E28" w:rsidP="008C5E28" w14:paraId="2AE418A0" w14:textId="77777777">
            <w:pPr>
              <w:tabs>
                <w:tab w:val="left" w:pos="342"/>
                <w:tab w:val="left" w:pos="993"/>
              </w:tabs>
              <w:jc w:val="both"/>
              <w:textAlignment w:val="auto"/>
              <w:rPr>
                <w:sz w:val="24"/>
                <w:lang w:val="lv-LV"/>
              </w:rPr>
            </w:pPr>
            <w:r w:rsidRPr="008C5E28">
              <w:rPr>
                <w:sz w:val="24"/>
                <w:lang w:val="lv-LV"/>
              </w:rPr>
              <w:t xml:space="preserve">- Ministru kabineta 01.09.2009. noteikumus Nr. 981 „Bērnu nometņu organizēšanas un darbības kārtība”, kā arī nodrošināt </w:t>
            </w:r>
            <w:r w:rsidRPr="008C5E28">
              <w:rPr>
                <w:sz w:val="24"/>
                <w:lang w:val="lv-LV"/>
              </w:rPr>
              <w:t>pretepidēmiskā</w:t>
            </w:r>
            <w:r w:rsidRPr="008C5E28">
              <w:rPr>
                <w:sz w:val="24"/>
                <w:lang w:val="lv-LV"/>
              </w:rPr>
              <w:t xml:space="preserve"> režīma ievērošanu un bērnu veselībai drošu vidi.</w:t>
            </w:r>
          </w:p>
        </w:tc>
      </w:tr>
    </w:tbl>
    <w:p w:rsidR="008C5E28" w:rsidRPr="008C5E28" w:rsidP="008C5E28" w14:paraId="651BA94B" w14:textId="77777777">
      <w:pPr>
        <w:overflowPunct/>
        <w:autoSpaceDE/>
        <w:autoSpaceDN/>
        <w:adjustRightInd/>
        <w:textAlignment w:val="auto"/>
        <w:outlineLvl w:val="3"/>
        <w:rPr>
          <w:sz w:val="24"/>
          <w:lang w:val="lv-LV" w:eastAsia="zh-CN"/>
        </w:rPr>
      </w:pPr>
    </w:p>
    <w:tbl>
      <w:tblPr>
        <w:tblW w:w="0" w:type="auto"/>
        <w:tblInd w:w="108" w:type="dxa"/>
        <w:tblLook w:val="04A0"/>
      </w:tblPr>
      <w:tblGrid>
        <w:gridCol w:w="6160"/>
        <w:gridCol w:w="3087"/>
      </w:tblGrid>
      <w:tr w14:paraId="6437ADF4" w14:textId="77777777" w:rsidTr="008C5E28">
        <w:tblPrEx>
          <w:tblW w:w="0" w:type="auto"/>
          <w:tblInd w:w="108" w:type="dxa"/>
          <w:tblLook w:val="04A0"/>
        </w:tblPrEx>
        <w:tc>
          <w:tcPr>
            <w:tcW w:w="6237" w:type="dxa"/>
            <w:hideMark/>
          </w:tcPr>
          <w:p w:rsidR="008C5E28" w:rsidRPr="008C5E28" w:rsidP="008C5E28" w14:paraId="713A9F86" w14:textId="77777777">
            <w:pPr>
              <w:textAlignment w:val="auto"/>
              <w:rPr>
                <w:sz w:val="24"/>
                <w:lang w:val="lv-LV"/>
              </w:rPr>
            </w:pPr>
            <w:r w:rsidRPr="008C5E28">
              <w:rPr>
                <w:sz w:val="24"/>
                <w:lang w:val="lv-LV"/>
              </w:rPr>
              <w:t xml:space="preserve">Sabiedrības veselības departamenta </w:t>
            </w:r>
          </w:p>
          <w:p w:rsidR="008C5E28" w:rsidRPr="008C5E28" w:rsidP="008C5E28" w14:paraId="7106CC7D" w14:textId="77777777">
            <w:pPr>
              <w:textAlignment w:val="auto"/>
              <w:rPr>
                <w:sz w:val="24"/>
                <w:lang w:val="lv-LV"/>
              </w:rPr>
            </w:pPr>
            <w:r w:rsidRPr="008C5E28">
              <w:rPr>
                <w:sz w:val="24"/>
                <w:lang w:val="lv-LV"/>
              </w:rPr>
              <w:t>Higiēnas novērtēšanas nodaļas higiēnas ārste</w:t>
            </w:r>
          </w:p>
        </w:tc>
        <w:tc>
          <w:tcPr>
            <w:tcW w:w="3119" w:type="dxa"/>
          </w:tcPr>
          <w:p w:rsidR="008C5E28" w:rsidRPr="008C5E28" w:rsidP="008C5E28" w14:paraId="2CDFDE82" w14:textId="77777777">
            <w:pPr>
              <w:textAlignment w:val="auto"/>
              <w:rPr>
                <w:sz w:val="24"/>
                <w:lang w:val="lv-LV"/>
              </w:rPr>
            </w:pPr>
          </w:p>
          <w:p w:rsidR="008C5E28" w:rsidRPr="008C5E28" w:rsidP="008C5E28" w14:paraId="2367E7E3" w14:textId="77777777">
            <w:pPr>
              <w:textAlignment w:val="auto"/>
              <w:rPr>
                <w:sz w:val="24"/>
                <w:lang w:val="lv-LV"/>
              </w:rPr>
            </w:pPr>
            <w:r w:rsidRPr="008C5E28">
              <w:rPr>
                <w:sz w:val="24"/>
                <w:lang w:val="lv-LV"/>
              </w:rPr>
              <w:t xml:space="preserve">         Anna Staņēviča</w:t>
            </w:r>
          </w:p>
        </w:tc>
      </w:tr>
    </w:tbl>
    <w:p w:rsidR="00BC67F6" w:rsidRPr="008A3DA7" w:rsidP="00BC67F6" w14:paraId="08571B8A" w14:textId="77777777">
      <w:pPr>
        <w:tabs>
          <w:tab w:val="left" w:pos="3825"/>
        </w:tabs>
        <w:rPr>
          <w:sz w:val="24"/>
          <w:lang w:val="lv-LV"/>
        </w:rPr>
      </w:pPr>
    </w:p>
    <w:p w:rsidR="002A39F3" w:rsidP="002A39F3" w14:paraId="63A12416" w14:textId="77777777">
      <w:pPr>
        <w:jc w:val="both"/>
        <w:rPr>
          <w:sz w:val="24"/>
          <w:lang w:val="lv-LV"/>
        </w:rPr>
      </w:pPr>
    </w:p>
    <w:p w:rsidR="00C17178" w:rsidP="002A39F3" w14:paraId="5A093C93" w14:textId="77777777">
      <w:pPr>
        <w:tabs>
          <w:tab w:val="right" w:pos="9072"/>
        </w:tabs>
        <w:rPr>
          <w:sz w:val="24"/>
          <w:lang w:val="lv-LV"/>
        </w:rPr>
      </w:pPr>
    </w:p>
    <w:tbl>
      <w:tblPr>
        <w:tblW w:w="9357" w:type="dxa"/>
        <w:tblInd w:w="108" w:type="dxa"/>
        <w:tblLayout w:type="fixed"/>
        <w:tblLook w:val="04A0"/>
      </w:tblPr>
      <w:tblGrid>
        <w:gridCol w:w="9357"/>
      </w:tblGrid>
      <w:tr w14:paraId="6DDE90B9" w14:textId="77777777" w:rsidTr="002A39F3">
        <w:tblPrEx>
          <w:tblW w:w="9357" w:type="dxa"/>
          <w:tblInd w:w="108" w:type="dxa"/>
          <w:tblLayout w:type="fixed"/>
          <w:tblLook w:val="04A0"/>
        </w:tblPrEx>
        <w:tc>
          <w:tcPr>
            <w:tcW w:w="9357" w:type="dxa"/>
            <w:hideMark/>
          </w:tcPr>
          <w:p w:rsidR="00CA6166" w:rsidP="00CA6166" w14:paraId="2F65C25F" w14:textId="34624D3E">
            <w:pPr>
              <w:pStyle w:val="H4"/>
              <w:spacing w:after="0"/>
              <w:jc w:val="left"/>
              <w:outlineLvl w:val="9"/>
              <w:rPr>
                <w:b w:val="0"/>
                <w:sz w:val="24"/>
              </w:rPr>
            </w:pPr>
            <w:r w:rsidRPr="000A7FF6">
              <w:rPr>
                <w:b w:val="0"/>
                <w:noProof/>
                <w:sz w:val="22"/>
                <w:szCs w:val="22"/>
              </w:rPr>
              <w:t>Anna Staņēviča</w:t>
            </w:r>
            <w:r w:rsidRPr="000A7FF6">
              <w:rPr>
                <w:b w:val="0"/>
                <w:sz w:val="22"/>
                <w:szCs w:val="22"/>
              </w:rPr>
              <w:t xml:space="preserve">, </w:t>
            </w:r>
            <w:r w:rsidRPr="000A7FF6">
              <w:rPr>
                <w:b w:val="0"/>
                <w:noProof/>
                <w:sz w:val="22"/>
                <w:szCs w:val="22"/>
              </w:rPr>
              <w:t>67081537</w:t>
            </w:r>
          </w:p>
        </w:tc>
      </w:tr>
      <w:tr w14:paraId="06AC6712" w14:textId="77777777" w:rsidTr="002A39F3">
        <w:tblPrEx>
          <w:tblW w:w="9357" w:type="dxa"/>
          <w:tblInd w:w="108" w:type="dxa"/>
          <w:tblLayout w:type="fixed"/>
          <w:tblLook w:val="04A0"/>
        </w:tblPrEx>
        <w:trPr>
          <w:trHeight w:val="80"/>
        </w:trPr>
        <w:tc>
          <w:tcPr>
            <w:tcW w:w="9357" w:type="dxa"/>
            <w:hideMark/>
          </w:tcPr>
          <w:p w:rsidR="00CA6166" w:rsidP="00CA6166" w14:paraId="0E62FDB9" w14:textId="635948F0">
            <w:pPr>
              <w:pStyle w:val="H4"/>
              <w:spacing w:after="0"/>
              <w:jc w:val="left"/>
              <w:outlineLvl w:val="9"/>
              <w:rPr>
                <w:b w:val="0"/>
                <w:sz w:val="24"/>
              </w:rPr>
            </w:pPr>
            <w:r w:rsidRPr="000A7FF6">
              <w:rPr>
                <w:b w:val="0"/>
                <w:noProof/>
                <w:sz w:val="22"/>
                <w:szCs w:val="22"/>
              </w:rPr>
              <w:t>anna.stanevica@vi.gov.lv</w:t>
            </w: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90" w:type="dxa"/>
      <w:tblInd w:w="108" w:type="dxa"/>
      <w:tblLayout w:type="fixed"/>
      <w:tblLook w:val="04A0"/>
    </w:tblPr>
    <w:tblGrid>
      <w:gridCol w:w="6555"/>
      <w:gridCol w:w="2835"/>
    </w:tblGrid>
    <w:tr w14:paraId="0D5B03E8" w14:textId="77777777" w:rsidTr="00D44255">
      <w:tblPrEx>
        <w:tblW w:w="9390"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835"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8C5E28">
            <w:rPr>
              <w:bCs/>
              <w:noProof/>
              <w:sz w:val="22"/>
              <w:szCs w:val="22"/>
              <w:u w:val="single"/>
              <w:lang w:val="pt-PT"/>
            </w:rPr>
            <w:t>17.04.2023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8C5E28" w:rsidR="0035491C">
            <w:rPr>
              <w:bCs/>
              <w:noProof/>
              <w:sz w:val="22"/>
              <w:szCs w:val="22"/>
              <w:u w:val="single"/>
              <w:lang w:val="pt-PT"/>
            </w:rPr>
            <w:t>2.4.5.-8/141</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sidRPr="008C5E28">
        <w:rPr>
          <w:rStyle w:val="Hyperlink"/>
          <w:sz w:val="20"/>
          <w:szCs w:val="20"/>
          <w:lang w:val="pt-PT"/>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803186385">
    <w:abstractNumId w:val="5"/>
  </w:num>
  <w:num w:numId="2" w16cid:durableId="1508908746">
    <w:abstractNumId w:val="1"/>
  </w:num>
  <w:num w:numId="3" w16cid:durableId="711465001">
    <w:abstractNumId w:val="0"/>
  </w:num>
  <w:num w:numId="4" w16cid:durableId="118692402">
    <w:abstractNumId w:val="3"/>
  </w:num>
  <w:num w:numId="5" w16cid:durableId="97257205">
    <w:abstractNumId w:val="9"/>
  </w:num>
  <w:num w:numId="6" w16cid:durableId="1384985546">
    <w:abstractNumId w:val="10"/>
  </w:num>
  <w:num w:numId="7" w16cid:durableId="785194038">
    <w:abstractNumId w:val="7"/>
  </w:num>
  <w:num w:numId="8" w16cid:durableId="404836921">
    <w:abstractNumId w:val="2"/>
  </w:num>
  <w:num w:numId="9" w16cid:durableId="2117367812">
    <w:abstractNumId w:val="6"/>
  </w:num>
  <w:num w:numId="10" w16cid:durableId="18911914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5235094">
    <w:abstractNumId w:val="12"/>
  </w:num>
  <w:num w:numId="12" w16cid:durableId="15085931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602652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5141936">
    <w:abstractNumId w:val="4"/>
  </w:num>
  <w:num w:numId="15" w16cid:durableId="842741251">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A7FF6"/>
    <w:rsid w:val="000C05D2"/>
    <w:rsid w:val="000D509E"/>
    <w:rsid w:val="00104812"/>
    <w:rsid w:val="00106D19"/>
    <w:rsid w:val="0011454A"/>
    <w:rsid w:val="00114A2B"/>
    <w:rsid w:val="00115CB8"/>
    <w:rsid w:val="00120046"/>
    <w:rsid w:val="00151696"/>
    <w:rsid w:val="00161456"/>
    <w:rsid w:val="0017534B"/>
    <w:rsid w:val="00182E1B"/>
    <w:rsid w:val="001849BB"/>
    <w:rsid w:val="00185E48"/>
    <w:rsid w:val="00196AAD"/>
    <w:rsid w:val="001A01E9"/>
    <w:rsid w:val="001A06F3"/>
    <w:rsid w:val="001B2A25"/>
    <w:rsid w:val="001B33C1"/>
    <w:rsid w:val="001B5085"/>
    <w:rsid w:val="001E4D39"/>
    <w:rsid w:val="001F5AE3"/>
    <w:rsid w:val="00211C26"/>
    <w:rsid w:val="002213CB"/>
    <w:rsid w:val="00240007"/>
    <w:rsid w:val="00246554"/>
    <w:rsid w:val="0025403B"/>
    <w:rsid w:val="00257113"/>
    <w:rsid w:val="00262D25"/>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CF0"/>
    <w:rsid w:val="0033268D"/>
    <w:rsid w:val="003341DA"/>
    <w:rsid w:val="00335C85"/>
    <w:rsid w:val="0033695B"/>
    <w:rsid w:val="00351B81"/>
    <w:rsid w:val="0035206D"/>
    <w:rsid w:val="0035491C"/>
    <w:rsid w:val="00356E9A"/>
    <w:rsid w:val="00384A1E"/>
    <w:rsid w:val="00392428"/>
    <w:rsid w:val="0039440A"/>
    <w:rsid w:val="003A01C4"/>
    <w:rsid w:val="003A098B"/>
    <w:rsid w:val="003A5FA9"/>
    <w:rsid w:val="003B10E1"/>
    <w:rsid w:val="003B63BF"/>
    <w:rsid w:val="003C0629"/>
    <w:rsid w:val="003C3B7A"/>
    <w:rsid w:val="003E47EF"/>
    <w:rsid w:val="003E6927"/>
    <w:rsid w:val="003F0398"/>
    <w:rsid w:val="003F33B7"/>
    <w:rsid w:val="00402D47"/>
    <w:rsid w:val="0046092E"/>
    <w:rsid w:val="004610E8"/>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D43A1"/>
    <w:rsid w:val="006E06C3"/>
    <w:rsid w:val="006E0C7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810FA9"/>
    <w:rsid w:val="008179CE"/>
    <w:rsid w:val="00822BBD"/>
    <w:rsid w:val="008355A6"/>
    <w:rsid w:val="00840480"/>
    <w:rsid w:val="00842E5D"/>
    <w:rsid w:val="008525E4"/>
    <w:rsid w:val="00857D6E"/>
    <w:rsid w:val="00872DDD"/>
    <w:rsid w:val="0089710B"/>
    <w:rsid w:val="008A1242"/>
    <w:rsid w:val="008A3DA7"/>
    <w:rsid w:val="008A6AAF"/>
    <w:rsid w:val="008C06D3"/>
    <w:rsid w:val="008C37E6"/>
    <w:rsid w:val="008C5E28"/>
    <w:rsid w:val="008D0063"/>
    <w:rsid w:val="008D1487"/>
    <w:rsid w:val="008E0C54"/>
    <w:rsid w:val="008E3B42"/>
    <w:rsid w:val="00900669"/>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6C06"/>
    <w:rsid w:val="00CA2482"/>
    <w:rsid w:val="00CA6166"/>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44255"/>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23BBF"/>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569</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Anna Staņēviča</cp:lastModifiedBy>
  <cp:revision>15</cp:revision>
  <cp:lastPrinted>2017-09-20T12:25:00Z</cp:lastPrinted>
  <dcterms:created xsi:type="dcterms:W3CDTF">2021-11-12T11:31:00Z</dcterms:created>
  <dcterms:modified xsi:type="dcterms:W3CDTF">2023-04-17T12:28:00Z</dcterms:modified>
</cp:coreProperties>
</file>