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D537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2475D" w14:paraId="164CE17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DD864D0" w14:textId="77777777" w:rsidR="00E227D8" w:rsidRPr="005D1C44" w:rsidRDefault="00661D4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1A0647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13C0307" w14:textId="77777777" w:rsidR="00E227D8" w:rsidRPr="00A47DBC" w:rsidRDefault="00661D4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18A">
              <w:rPr>
                <w:rFonts w:ascii="Times New Roman" w:hAnsi="Times New Roman"/>
                <w:sz w:val="24"/>
                <w:szCs w:val="24"/>
              </w:rPr>
              <w:t>Rīgas Riteņbraukšanas skola</w:t>
            </w:r>
          </w:p>
        </w:tc>
      </w:tr>
      <w:tr w:rsidR="00D2475D" w14:paraId="3407CD25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1E713A84" w14:textId="77777777" w:rsidR="00E227D8" w:rsidRPr="005D1C44" w:rsidRDefault="00661D4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8DE8F9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0D37E2E3" w14:textId="77777777" w:rsidR="00E227D8" w:rsidRPr="005D1C44" w:rsidRDefault="00661D4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2475D" w14:paraId="6698D3D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A55E480" w14:textId="77777777" w:rsidR="00E227D8" w:rsidRPr="00D639C2" w:rsidRDefault="00661D4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09.03.2023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C2BD71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8E79054" w14:textId="77777777" w:rsidR="00E227D8" w:rsidRPr="005D1C44" w:rsidRDefault="00661D4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DC6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90011631359</w:t>
            </w:r>
          </w:p>
        </w:tc>
      </w:tr>
      <w:tr w:rsidR="00D2475D" w14:paraId="57F50235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003932F" w14:textId="77777777" w:rsidR="00E227D8" w:rsidRPr="005D1C44" w:rsidRDefault="00661D4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4322EC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438F3FD" w14:textId="77777777" w:rsidR="00E227D8" w:rsidRPr="005D1C44" w:rsidRDefault="00661D4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2475D" w14:paraId="4B184D5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D62882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80E961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2A0BA4F" w14:textId="77777777" w:rsidR="00E227D8" w:rsidRPr="005D1C44" w:rsidRDefault="00661D4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18A">
              <w:rPr>
                <w:rFonts w:ascii="Times New Roman" w:hAnsi="Times New Roman"/>
                <w:color w:val="000000"/>
                <w:sz w:val="24"/>
                <w:szCs w:val="24"/>
              </w:rPr>
              <w:t>Grīvas iela 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C6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Rīga, LV-1055</w:t>
            </w:r>
          </w:p>
        </w:tc>
      </w:tr>
      <w:tr w:rsidR="00D2475D" w14:paraId="72A42C5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E5B672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3923D7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C4D7591" w14:textId="77777777" w:rsidR="00E227D8" w:rsidRPr="005D1C44" w:rsidRDefault="00661D4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F46F32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FEC0E3D" w14:textId="77777777" w:rsidR="00E227D8" w:rsidRPr="00B42A8D" w:rsidRDefault="00661D4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22/8-3.10/28</w:t>
      </w:r>
    </w:p>
    <w:p w14:paraId="1DEB34E5" w14:textId="77777777" w:rsidR="00C959F6" w:rsidRDefault="00661D4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358FD0C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D2475D" w14:paraId="06B59619" w14:textId="77777777" w:rsidTr="00C07822">
        <w:trPr>
          <w:trHeight w:val="80"/>
        </w:trPr>
        <w:tc>
          <w:tcPr>
            <w:tcW w:w="426" w:type="dxa"/>
          </w:tcPr>
          <w:p w14:paraId="67F0969D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3CEFC66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618A">
              <w:rPr>
                <w:rFonts w:ascii="Times New Roman" w:hAnsi="Times New Roman" w:cs="Times New Roman"/>
                <w:sz w:val="24"/>
              </w:rPr>
              <w:t>viesu māja “Rūķīši”</w:t>
            </w:r>
          </w:p>
        </w:tc>
      </w:tr>
      <w:tr w:rsidR="00D2475D" w14:paraId="076FDB1C" w14:textId="77777777" w:rsidTr="00C07822">
        <w:tc>
          <w:tcPr>
            <w:tcW w:w="426" w:type="dxa"/>
          </w:tcPr>
          <w:p w14:paraId="7F4BE3A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D6A05DE" w14:textId="77777777" w:rsidR="00E227D8" w:rsidRPr="00070E23" w:rsidRDefault="00661D4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2475D" w14:paraId="2D6859E4" w14:textId="77777777" w:rsidTr="00C07822">
        <w:trPr>
          <w:trHeight w:val="288"/>
        </w:trPr>
        <w:tc>
          <w:tcPr>
            <w:tcW w:w="426" w:type="dxa"/>
          </w:tcPr>
          <w:p w14:paraId="69358342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4F95CC2" w14:textId="77777777" w:rsidR="00E227D8" w:rsidRPr="00E227D8" w:rsidRDefault="00661D43" w:rsidP="00AD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618A" w:rsidRPr="00DC618A">
              <w:rPr>
                <w:rFonts w:ascii="Times New Roman" w:hAnsi="Times New Roman" w:cs="Times New Roman"/>
                <w:sz w:val="24"/>
              </w:rPr>
              <w:t>Gaujas iela 11, Murjā</w:t>
            </w:r>
            <w:r w:rsidR="00DC618A">
              <w:rPr>
                <w:rFonts w:ascii="Times New Roman" w:hAnsi="Times New Roman" w:cs="Times New Roman"/>
                <w:sz w:val="24"/>
              </w:rPr>
              <w:t>ņ</w:t>
            </w:r>
            <w:r w:rsidR="00DC618A" w:rsidRPr="00DC618A">
              <w:rPr>
                <w:rFonts w:ascii="Times New Roman" w:hAnsi="Times New Roman" w:cs="Times New Roman"/>
                <w:sz w:val="24"/>
              </w:rPr>
              <w:t>i, Sējas pa</w:t>
            </w:r>
            <w:r w:rsidR="00DC618A">
              <w:rPr>
                <w:rFonts w:ascii="Times New Roman" w:hAnsi="Times New Roman" w:cs="Times New Roman"/>
                <w:sz w:val="24"/>
              </w:rPr>
              <w:t>gasts, Saulkrastu novads</w:t>
            </w:r>
          </w:p>
        </w:tc>
      </w:tr>
      <w:tr w:rsidR="00D2475D" w14:paraId="1A3BD171" w14:textId="77777777" w:rsidTr="00C07822">
        <w:tc>
          <w:tcPr>
            <w:tcW w:w="426" w:type="dxa"/>
          </w:tcPr>
          <w:p w14:paraId="174D4A6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0B2B612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75D" w14:paraId="698E3B66" w14:textId="77777777" w:rsidTr="00C07822">
        <w:tc>
          <w:tcPr>
            <w:tcW w:w="426" w:type="dxa"/>
          </w:tcPr>
          <w:p w14:paraId="03DEAA94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042B108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618A">
              <w:rPr>
                <w:rFonts w:ascii="Times New Roman" w:hAnsi="Times New Roman" w:cs="Times New Roman"/>
                <w:sz w:val="24"/>
              </w:rPr>
              <w:t>SIA “DAUBELS”, reģistrācijas Nr.</w:t>
            </w:r>
            <w:r w:rsidR="00DC618A" w:rsidRPr="00DC618A">
              <w:rPr>
                <w:rFonts w:ascii="Times New Roman" w:hAnsi="Times New Roman" w:cs="Times New Roman"/>
                <w:sz w:val="24"/>
              </w:rPr>
              <w:t>50003631601</w:t>
            </w:r>
          </w:p>
        </w:tc>
      </w:tr>
      <w:tr w:rsidR="00D2475D" w14:paraId="50C45236" w14:textId="77777777" w:rsidTr="00C07822">
        <w:tc>
          <w:tcPr>
            <w:tcW w:w="426" w:type="dxa"/>
          </w:tcPr>
          <w:p w14:paraId="10899A7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9F68120" w14:textId="77777777" w:rsidR="00E227D8" w:rsidRPr="00070E23" w:rsidRDefault="00661D4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2475D" w14:paraId="400BFD58" w14:textId="77777777" w:rsidTr="00C07822">
        <w:tc>
          <w:tcPr>
            <w:tcW w:w="426" w:type="dxa"/>
          </w:tcPr>
          <w:p w14:paraId="1692B43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51775B9" w14:textId="77777777" w:rsidR="00E227D8" w:rsidRPr="00E227D8" w:rsidRDefault="00661D43" w:rsidP="00DC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8A">
              <w:rPr>
                <w:rFonts w:ascii="Times New Roman" w:hAnsi="Times New Roman" w:cs="Times New Roman"/>
                <w:sz w:val="24"/>
                <w:szCs w:val="24"/>
              </w:rPr>
              <w:t>"Bērzi", Sēj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pagasts, Saulkrastu novads, </w:t>
            </w:r>
            <w:r w:rsidRPr="00DC618A">
              <w:rPr>
                <w:rFonts w:ascii="Times New Roman" w:hAnsi="Times New Roman" w:cs="Times New Roman"/>
                <w:sz w:val="24"/>
                <w:szCs w:val="24"/>
              </w:rPr>
              <w:t>LV-2142</w:t>
            </w:r>
          </w:p>
        </w:tc>
      </w:tr>
      <w:tr w:rsidR="00D2475D" w14:paraId="34A41266" w14:textId="77777777" w:rsidTr="00C07822">
        <w:tc>
          <w:tcPr>
            <w:tcW w:w="426" w:type="dxa"/>
          </w:tcPr>
          <w:p w14:paraId="2702E93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5B9D16D" w14:textId="77777777" w:rsidR="00E227D8" w:rsidRPr="00070E23" w:rsidRDefault="00661D4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2475D" w14:paraId="09F74E9F" w14:textId="77777777" w:rsidTr="00C07822">
        <w:tc>
          <w:tcPr>
            <w:tcW w:w="426" w:type="dxa"/>
          </w:tcPr>
          <w:p w14:paraId="156297B1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2622377" w14:textId="77777777" w:rsidR="00E227D8" w:rsidRPr="00E227D8" w:rsidRDefault="00661D4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618A" w:rsidRPr="00DC618A">
              <w:rPr>
                <w:rFonts w:ascii="Times New Roman" w:hAnsi="Times New Roman" w:cs="Times New Roman"/>
                <w:sz w:val="24"/>
              </w:rPr>
              <w:t>Rīgas Riteņbraukšanas skola</w:t>
            </w:r>
            <w:r w:rsidR="00DC618A">
              <w:rPr>
                <w:rFonts w:ascii="Times New Roman" w:hAnsi="Times New Roman" w:cs="Times New Roman"/>
                <w:sz w:val="24"/>
              </w:rPr>
              <w:t>s nometņu vadītājas Svetlanas Dāles 2023.gada 1.marta iesniegums</w:t>
            </w:r>
          </w:p>
        </w:tc>
      </w:tr>
      <w:tr w:rsidR="00D2475D" w14:paraId="43BA56D9" w14:textId="77777777" w:rsidTr="00C07822">
        <w:tc>
          <w:tcPr>
            <w:tcW w:w="426" w:type="dxa"/>
          </w:tcPr>
          <w:p w14:paraId="6F8FDAB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CC59A3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75D" w14:paraId="1D49F70A" w14:textId="77777777" w:rsidTr="00C07822">
        <w:tc>
          <w:tcPr>
            <w:tcW w:w="426" w:type="dxa"/>
          </w:tcPr>
          <w:p w14:paraId="5EA28A16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C98643B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18A">
              <w:rPr>
                <w:rFonts w:ascii="Times New Roman" w:hAnsi="Times New Roman" w:cs="Times New Roman"/>
                <w:sz w:val="24"/>
                <w:szCs w:val="24"/>
              </w:rPr>
              <w:t>viesu izmitināšanai paredzēta ēka, divi stāvi, U3 ugunsnoturības pakāpe. Ēkā ierīkota un ir darba kārtībā automātiskā ugunsgrēka atklāšanas un trauksmes signalizācijas sistēma, telpas nodrošinātas ar ugunsdzēsības līdzekļiem.</w:t>
            </w:r>
          </w:p>
        </w:tc>
      </w:tr>
      <w:tr w:rsidR="00D2475D" w14:paraId="6ACC7F70" w14:textId="77777777" w:rsidTr="00C07822">
        <w:tc>
          <w:tcPr>
            <w:tcW w:w="426" w:type="dxa"/>
          </w:tcPr>
          <w:p w14:paraId="3996F8A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FCEC79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75D" w14:paraId="7B9D3B00" w14:textId="77777777" w:rsidTr="00C07822">
        <w:tc>
          <w:tcPr>
            <w:tcW w:w="426" w:type="dxa"/>
          </w:tcPr>
          <w:p w14:paraId="4241EEE3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6765666" w14:textId="77777777" w:rsidR="00E227D8" w:rsidRDefault="00661D43" w:rsidP="00AD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DD8263" w14:textId="77777777" w:rsidR="00DC618A" w:rsidRDefault="00661D43" w:rsidP="00AD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DC618A">
              <w:rPr>
                <w:rFonts w:ascii="Times New Roman" w:hAnsi="Times New Roman" w:cs="Times New Roman"/>
                <w:sz w:val="24"/>
                <w:szCs w:val="24"/>
              </w:rPr>
              <w:t>Nav veikta Objekta elektroinstalācijas (tai skaitā zemējuma un zibensaizsardzības ierīces) pārbaude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618A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noteikumi Nr.238 “Ugunsdrošības noteikumi” (turpmāk – Ugunsdrošības noteikumi) 56.punkts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0DFE935" w14:textId="77777777" w:rsidR="00DC618A" w:rsidRDefault="00661D43" w:rsidP="00AD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DC618A">
              <w:rPr>
                <w:rFonts w:ascii="Times New Roman" w:hAnsi="Times New Roman" w:cs="Times New Roman"/>
                <w:sz w:val="24"/>
                <w:szCs w:val="24"/>
              </w:rPr>
              <w:t>Nav veikta Objekta elektroinstalācijas kontaktu savienojumu kvalitātes (piemēram, nozarkārbā, elektrosadales skapī (sadalnē), aizsargierīču uzstādīšanas vietās) pārbaude ar termokameru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618A">
              <w:rPr>
                <w:rFonts w:ascii="Times New Roman" w:hAnsi="Times New Roman" w:cs="Times New Roman"/>
                <w:sz w:val="24"/>
                <w:szCs w:val="24"/>
              </w:rPr>
              <w:t>Ugunsdrošības noteikumu 58.punkts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902568C" w14:textId="77777777" w:rsidR="00DC618A" w:rsidRDefault="00661D43" w:rsidP="00AD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DC618A">
              <w:rPr>
                <w:rFonts w:ascii="Times New Roman" w:hAnsi="Times New Roman" w:cs="Times New Roman"/>
                <w:sz w:val="24"/>
                <w:szCs w:val="24"/>
              </w:rPr>
              <w:t>Savlaicīgi nav veikta dūmvada, apkures iekārtas un ierīces tehniskā stāvokļa novērtēšana, lai noteiktu tā atbilstību būvniecību un ekspluatāciju regulējošo normatīvo aktu un ražotāja prasībām (ne retāk kā 1x5 gados)</w:t>
            </w:r>
            <w:r w:rsidR="00AD3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330A" w:rsidRPr="00AD330A">
              <w:rPr>
                <w:rFonts w:ascii="Times New Roman" w:hAnsi="Times New Roman" w:cs="Times New Roman"/>
                <w:sz w:val="24"/>
                <w:szCs w:val="24"/>
              </w:rPr>
              <w:t>Ugunsdrošības noteikumu 73.punkts un 74.punkts</w:t>
            </w:r>
            <w:r w:rsidR="00AD33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9BEE67F" w14:textId="77777777" w:rsidR="00AD330A" w:rsidRPr="00E227D8" w:rsidRDefault="00661D43" w:rsidP="00AD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Pr="00AD330A">
              <w:rPr>
                <w:rFonts w:ascii="Times New Roman" w:hAnsi="Times New Roman" w:cs="Times New Roman"/>
                <w:sz w:val="24"/>
                <w:szCs w:val="24"/>
              </w:rPr>
              <w:t>Atbildīgā persona nav nodrošinājusi tādas ugunsdrošības instrukcijas izstrādi objektam un teritorijai, kas ir objekta un teritorijas lietošanas mērķim atbilstošs ugunsdrošības prasību kopums un satur Ugunsdrošības noteikumu 180.punkta apakšpunktos prasīto informāciju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330A">
              <w:rPr>
                <w:rFonts w:ascii="Times New Roman" w:hAnsi="Times New Roman" w:cs="Times New Roman"/>
                <w:sz w:val="24"/>
                <w:szCs w:val="24"/>
              </w:rPr>
              <w:t>Ugunsdrošības noteikumu 176.punkts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75D" w14:paraId="270B1C00" w14:textId="77777777" w:rsidTr="00C07822">
        <w:tc>
          <w:tcPr>
            <w:tcW w:w="426" w:type="dxa"/>
          </w:tcPr>
          <w:p w14:paraId="59ED56ED" w14:textId="77777777" w:rsidR="00070E23" w:rsidRPr="00070E23" w:rsidRDefault="00661D4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;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12C998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75D" w14:paraId="2C1B7E04" w14:textId="77777777" w:rsidTr="00C07822">
        <w:tc>
          <w:tcPr>
            <w:tcW w:w="426" w:type="dxa"/>
          </w:tcPr>
          <w:p w14:paraId="703DEFCF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325CC4E" w14:textId="77777777" w:rsidR="00E227D8" w:rsidRPr="00E227D8" w:rsidRDefault="00661D43" w:rsidP="00AD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Objektā ir konstatēti Ugunsdrošības noteikumu pārkāpumi, kurus atbildīgai personai uzdots novērst.  Nav aizliegta Objekta izmantošana bērnu diennakts nometnes “Riteņbraukšanas sporta nometne” organizēšanai laika periodā no 13.03.-19.03.2023.</w:t>
            </w:r>
          </w:p>
        </w:tc>
      </w:tr>
      <w:tr w:rsidR="00D2475D" w14:paraId="77D9B5CB" w14:textId="77777777" w:rsidTr="00C07822">
        <w:tc>
          <w:tcPr>
            <w:tcW w:w="426" w:type="dxa"/>
          </w:tcPr>
          <w:p w14:paraId="35BE235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A5E89C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475D" w14:paraId="6F7C5FCB" w14:textId="77777777" w:rsidTr="00C07822">
        <w:tc>
          <w:tcPr>
            <w:tcW w:w="426" w:type="dxa"/>
          </w:tcPr>
          <w:p w14:paraId="762026A7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A77C2E3" w14:textId="77777777" w:rsidR="00E227D8" w:rsidRPr="00E227D8" w:rsidRDefault="00661D43" w:rsidP="00AD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330A">
              <w:rPr>
                <w:rFonts w:ascii="Times New Roman" w:hAnsi="Times New Roman" w:cs="Times New Roman"/>
                <w:sz w:val="24"/>
              </w:rPr>
              <w:t>Ministru kabineta 2009.gada 1.septembra noteikumu Nr. 981“Bērnu nometņu organizēšanas un darbības kārtība” 8.5.apakšpunkta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2475D" w14:paraId="62B6F924" w14:textId="77777777" w:rsidTr="00C07822">
        <w:tc>
          <w:tcPr>
            <w:tcW w:w="426" w:type="dxa"/>
          </w:tcPr>
          <w:p w14:paraId="1173ED1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75AD556" w14:textId="77777777" w:rsidR="00E227D8" w:rsidRPr="00070E23" w:rsidRDefault="00661D4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2475D" w14:paraId="4099C60C" w14:textId="77777777" w:rsidTr="00C07822">
        <w:tc>
          <w:tcPr>
            <w:tcW w:w="426" w:type="dxa"/>
          </w:tcPr>
          <w:p w14:paraId="2080BD10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5E1C045" w14:textId="77777777" w:rsidR="00E227D8" w:rsidRPr="00E227D8" w:rsidRDefault="0066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Pēc pieprasījuma</w:t>
            </w:r>
          </w:p>
        </w:tc>
      </w:tr>
      <w:tr w:rsidR="00D2475D" w14:paraId="6E18FC26" w14:textId="77777777" w:rsidTr="00C07822">
        <w:trPr>
          <w:trHeight w:val="603"/>
        </w:trPr>
        <w:tc>
          <w:tcPr>
            <w:tcW w:w="426" w:type="dxa"/>
          </w:tcPr>
          <w:p w14:paraId="664F8FE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5516193" w14:textId="77777777" w:rsidR="00E227D8" w:rsidRPr="00070E23" w:rsidRDefault="00661D4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F8E1D0A" w14:textId="77777777" w:rsidR="00E227D8" w:rsidRDefault="00661D4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9FCDD61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14C5966D" w14:textId="77777777" w:rsidR="00B245E2" w:rsidRPr="007D2C05" w:rsidRDefault="00661D4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2475D" w14:paraId="5E81E22C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7B28924F" w14:textId="77777777" w:rsidR="00B245E2" w:rsidRPr="00B245E2" w:rsidRDefault="00661D43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D2475D" w14:paraId="0EDEB564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37CEAD64" w14:textId="77777777" w:rsidR="00124D71" w:rsidRPr="005D1C44" w:rsidRDefault="00661D43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75D" w14:paraId="32E82990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10E16B90" w14:textId="77777777" w:rsidR="00B245E2" w:rsidRPr="00B245E2" w:rsidRDefault="00661D4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F8F4046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D2475D" w14:paraId="4A6CCFFC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05A1716F" w14:textId="77777777" w:rsidR="00B245E2" w:rsidRDefault="00661D43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</w:p>
          <w:p w14:paraId="1D89650D" w14:textId="77777777" w:rsidR="00AD330A" w:rsidRPr="007D2C05" w:rsidRDefault="00661D43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0A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nodaļās inspektor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bottom"/>
          </w:tcPr>
          <w:p w14:paraId="3AF6604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8D7E18E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CF4B7B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4337B022" w14:textId="77777777" w:rsidR="00B245E2" w:rsidRPr="007D2C05" w:rsidRDefault="00661D43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</w:p>
        </w:tc>
      </w:tr>
      <w:tr w:rsidR="00D2475D" w14:paraId="22FF8980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4B73C2E6" w14:textId="77777777" w:rsidR="00B245E2" w:rsidRPr="00B245E2" w:rsidRDefault="00661D4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308CEE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F6CD48" w14:textId="77777777" w:rsidR="00B245E2" w:rsidRPr="00B245E2" w:rsidRDefault="00661D4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E2E410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2F81D61B" w14:textId="77777777" w:rsidR="00B245E2" w:rsidRPr="00B245E2" w:rsidRDefault="00661D4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04AB61D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D393C5F" w14:textId="77777777" w:rsidR="00E227D8" w:rsidRDefault="00661D4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D2475D" w14:paraId="4DB4ED8D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67CDC713" w14:textId="77777777" w:rsidR="007D2C05" w:rsidRDefault="00661D43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Elektroniski parakstīts Atzinums nosūtīts uz e-pastu </w:t>
            </w:r>
            <w:r w:rsidRPr="00AD330A">
              <w:rPr>
                <w:rFonts w:ascii="Times New Roman" w:hAnsi="Times New Roman" w:cs="Times New Roman"/>
                <w:sz w:val="24"/>
                <w:szCs w:val="24"/>
              </w:rPr>
              <w:t>Zveda@inbox.lv</w:t>
            </w:r>
          </w:p>
        </w:tc>
        <w:tc>
          <w:tcPr>
            <w:tcW w:w="284" w:type="dxa"/>
            <w:vAlign w:val="bottom"/>
          </w:tcPr>
          <w:p w14:paraId="5C5B177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2D9F275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5D" w14:paraId="4363A4DB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310A15DC" w14:textId="77777777" w:rsidR="007D2C05" w:rsidRPr="007D2C05" w:rsidRDefault="00661D4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AF57861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66180ACF" w14:textId="77777777" w:rsidR="007D2C05" w:rsidRPr="007D2C05" w:rsidRDefault="00661D4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0B8307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528F777" w14:textId="77777777" w:rsidR="00C33E3A" w:rsidRDefault="00661D4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FAA51B7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5EB1" w14:textId="77777777" w:rsidR="00422CFB" w:rsidRDefault="00422CFB">
      <w:pPr>
        <w:spacing w:after="0" w:line="240" w:lineRule="auto"/>
      </w:pPr>
      <w:r>
        <w:separator/>
      </w:r>
    </w:p>
  </w:endnote>
  <w:endnote w:type="continuationSeparator" w:id="0">
    <w:p w14:paraId="0F944122" w14:textId="77777777" w:rsidR="00422CFB" w:rsidRDefault="0042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DFAB" w14:textId="77777777" w:rsidR="00124D71" w:rsidRPr="00762AE8" w:rsidRDefault="00661D43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44789B88" w14:textId="77777777" w:rsidR="00762AE8" w:rsidRPr="00C07822" w:rsidRDefault="00661D43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0221" w14:textId="77777777" w:rsidR="00124D71" w:rsidRPr="00762AE8" w:rsidRDefault="00661D43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561F90EA" w14:textId="77777777" w:rsidR="00762AE8" w:rsidRPr="00C07822" w:rsidRDefault="00661D43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EA38" w14:textId="77777777" w:rsidR="00422CFB" w:rsidRDefault="00422CFB">
      <w:pPr>
        <w:spacing w:after="0" w:line="240" w:lineRule="auto"/>
      </w:pPr>
      <w:r>
        <w:separator/>
      </w:r>
    </w:p>
  </w:footnote>
  <w:footnote w:type="continuationSeparator" w:id="0">
    <w:p w14:paraId="613301D8" w14:textId="77777777" w:rsidR="00422CFB" w:rsidRDefault="0042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06150249"/>
      <w:docPartObj>
        <w:docPartGallery w:val="Page Numbers (Top of Page)"/>
        <w:docPartUnique/>
      </w:docPartObj>
    </w:sdtPr>
    <w:sdtContent>
      <w:p w14:paraId="0184690A" w14:textId="77777777" w:rsidR="00E227D8" w:rsidRPr="00762AE8" w:rsidRDefault="00661D4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4C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BE6226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EB48" w14:textId="77777777" w:rsidR="00B53A6F" w:rsidRDefault="00661D43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4B32D6C0" wp14:editId="78655F62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01907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E5CDC4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B7BC5F2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6659E32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2372B05E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1E4D59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2E2308F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A6DB4B7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5DBACE5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628B7F41" w14:textId="77777777" w:rsidR="00B53A6F" w:rsidRDefault="00661D43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09386C" wp14:editId="50C670F5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 xml:space="preserve">RĪGAS </w:t>
    </w:r>
    <w:r>
      <w:rPr>
        <w:rFonts w:ascii="Times New Roman" w:hAnsi="Times New Roman"/>
        <w:sz w:val="18"/>
        <w:szCs w:val="18"/>
      </w:rPr>
      <w:t>REĢIONA PĀRVALDE</w:t>
    </w:r>
  </w:p>
  <w:p w14:paraId="1C9DC6AB" w14:textId="77777777" w:rsidR="00762AE8" w:rsidRPr="00C07822" w:rsidRDefault="00661D43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2CFB"/>
    <w:rsid w:val="00426EBD"/>
    <w:rsid w:val="00441E69"/>
    <w:rsid w:val="00452043"/>
    <w:rsid w:val="00461A24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661D43"/>
    <w:rsid w:val="00736BC1"/>
    <w:rsid w:val="00762AE8"/>
    <w:rsid w:val="007665C9"/>
    <w:rsid w:val="00794977"/>
    <w:rsid w:val="00794DFA"/>
    <w:rsid w:val="007D2C05"/>
    <w:rsid w:val="007D7B3B"/>
    <w:rsid w:val="00884E35"/>
    <w:rsid w:val="008866CD"/>
    <w:rsid w:val="00964438"/>
    <w:rsid w:val="0097786E"/>
    <w:rsid w:val="00A025C5"/>
    <w:rsid w:val="00A24FDC"/>
    <w:rsid w:val="00A47DBC"/>
    <w:rsid w:val="00A5100D"/>
    <w:rsid w:val="00AD330A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2475D"/>
    <w:rsid w:val="00D639C2"/>
    <w:rsid w:val="00DB3B2E"/>
    <w:rsid w:val="00DC618A"/>
    <w:rsid w:val="00DD4C54"/>
    <w:rsid w:val="00E0387C"/>
    <w:rsid w:val="00E227D8"/>
    <w:rsid w:val="00E60393"/>
    <w:rsid w:val="00E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7C9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1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 </cp:lastModifiedBy>
  <cp:revision>2</cp:revision>
  <dcterms:created xsi:type="dcterms:W3CDTF">2023-03-10T08:21:00Z</dcterms:created>
  <dcterms:modified xsi:type="dcterms:W3CDTF">2023-03-10T08:21:00Z</dcterms:modified>
</cp:coreProperties>
</file>