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1766C518" w14:textId="77777777" w:rsidTr="001A7536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713B9F9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</w:tbl>
    <w:p w:rsidR="00BC67F6" w:rsidP="00BC67F6" w14:paraId="014C7243" w14:textId="0B61C28D">
      <w:pPr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CEA5BBE" w14:textId="77777777" w:rsidTr="00A850DB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1A7536" w:rsidRPr="008A3DA7" w:rsidP="00A850DB" w14:paraId="7CEC364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1A7536" w:rsidRPr="008A3DA7" w:rsidP="00BC67F6" w14:paraId="3E487639" w14:textId="77777777">
      <w:pPr>
        <w:rPr>
          <w:sz w:val="24"/>
          <w:lang w:val="lv-LV"/>
        </w:rPr>
      </w:pPr>
    </w:p>
    <w:tbl>
      <w:tblPr>
        <w:tblW w:w="3017" w:type="dxa"/>
        <w:tblLayout w:type="fixed"/>
        <w:tblLook w:val="0000"/>
      </w:tblPr>
      <w:tblGrid>
        <w:gridCol w:w="3017"/>
      </w:tblGrid>
      <w:tr w14:paraId="5461BD78" w14:textId="77777777" w:rsidTr="001A7536">
        <w:tblPrEx>
          <w:tblW w:w="3017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6F7A48" w:rsidRPr="001A7536" w:rsidP="00BC67F6" w14:paraId="6CC81F32" w14:textId="77777777">
            <w:pPr>
              <w:jc w:val="center"/>
              <w:rPr>
                <w:bCs/>
                <w:sz w:val="24"/>
                <w:lang w:val="lv-LV"/>
              </w:rPr>
            </w:pPr>
            <w:r w:rsidRPr="001A7536">
              <w:rPr>
                <w:bCs/>
                <w:noProof/>
                <w:sz w:val="24"/>
              </w:rPr>
              <w:t>20.10.2022</w:t>
            </w:r>
          </w:p>
        </w:tc>
      </w:tr>
    </w:tbl>
    <w:p w:rsidR="00BC67F6" w:rsidRPr="008A3DA7" w:rsidP="00BC67F6" w14:paraId="44AE972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3CC344F2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246554" w14:paraId="78E9CF51" w14:textId="52AE32E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4634">
              <w:rPr>
                <w:sz w:val="24"/>
                <w:lang w:val="lv-LV"/>
              </w:rPr>
              <w:t>Bērnu dienas nometne</w:t>
            </w:r>
          </w:p>
        </w:tc>
      </w:tr>
      <w:tr w14:paraId="6060AFF5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2A38CEC2" w14:textId="493ECBC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4634">
              <w:rPr>
                <w:sz w:val="24"/>
                <w:lang w:val="lv-LV"/>
              </w:rPr>
              <w:t xml:space="preserve">nometnes organizētājs – jauniešu organizācija </w:t>
            </w:r>
            <w:r w:rsidR="001A7536">
              <w:rPr>
                <w:sz w:val="24"/>
                <w:lang w:val="lv-LV"/>
              </w:rPr>
              <w:t>“</w:t>
            </w:r>
            <w:r w:rsidR="002B4634">
              <w:rPr>
                <w:sz w:val="24"/>
                <w:lang w:val="lv-LV"/>
              </w:rPr>
              <w:t>Ligzda”</w:t>
            </w:r>
            <w:r w:rsidRPr="00427DB1" w:rsidR="002B4634">
              <w:rPr>
                <w:sz w:val="24"/>
                <w:lang w:val="lv-LV"/>
              </w:rPr>
              <w:t xml:space="preserve">, </w:t>
            </w:r>
            <w:r w:rsidRPr="00427DB1" w:rsidR="002B4634">
              <w:rPr>
                <w:sz w:val="24"/>
                <w:lang w:val="lv-LV"/>
              </w:rPr>
              <w:t>reģ</w:t>
            </w:r>
            <w:r w:rsidRPr="00427DB1" w:rsidR="002B4634">
              <w:rPr>
                <w:sz w:val="24"/>
                <w:lang w:val="lv-LV"/>
              </w:rPr>
              <w:t xml:space="preserve">. Nr. </w:t>
            </w:r>
            <w:r w:rsidR="002B4634">
              <w:rPr>
                <w:sz w:val="24"/>
                <w:lang w:val="lv-LV"/>
              </w:rPr>
              <w:t>40008219934</w:t>
            </w:r>
            <w:r w:rsidRPr="00427DB1" w:rsidR="002B4634">
              <w:rPr>
                <w:sz w:val="24"/>
                <w:lang w:val="lv-LV"/>
              </w:rPr>
              <w:t xml:space="preserve">, </w:t>
            </w:r>
            <w:r w:rsidR="002B4634">
              <w:rPr>
                <w:sz w:val="24"/>
                <w:lang w:val="lv-LV"/>
              </w:rPr>
              <w:t>Upes iela 9, Rūjiena, Rūjienas</w:t>
            </w:r>
            <w:r w:rsidRPr="00427DB1" w:rsidR="002B4634">
              <w:rPr>
                <w:sz w:val="24"/>
                <w:lang w:val="lv-LV"/>
              </w:rPr>
              <w:t xml:space="preserve"> novads, LV</w:t>
            </w:r>
            <w:r w:rsidR="001A7536">
              <w:rPr>
                <w:sz w:val="24"/>
                <w:lang w:val="lv-LV"/>
              </w:rPr>
              <w:t>-</w:t>
            </w:r>
            <w:r w:rsidR="002B4634">
              <w:rPr>
                <w:sz w:val="24"/>
                <w:lang w:val="lv-LV"/>
              </w:rPr>
              <w:t>4240; nometnes vadītāja – Daina Roze (</w:t>
            </w:r>
            <w:r w:rsidR="002B4634">
              <w:rPr>
                <w:sz w:val="24"/>
                <w:lang w:val="lv-LV"/>
              </w:rPr>
              <w:t>apl</w:t>
            </w:r>
            <w:r w:rsidR="002B4634">
              <w:rPr>
                <w:sz w:val="24"/>
                <w:lang w:val="lv-LV"/>
              </w:rPr>
              <w:t>. Nr. 081-00002)</w:t>
            </w:r>
          </w:p>
        </w:tc>
      </w:tr>
      <w:tr w14:paraId="774E9442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784B2EC8" w14:textId="610E57A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4634">
              <w:rPr>
                <w:sz w:val="24"/>
                <w:lang w:val="lv-LV"/>
              </w:rPr>
              <w:t>Rūjienas Kultūras nams, Upes iela 9, Rūjiena, Valmieras novads, LV-4240</w:t>
            </w:r>
          </w:p>
        </w:tc>
      </w:tr>
      <w:tr w14:paraId="70336C7F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46554" w14:paraId="1C9A8D82" w14:textId="6E27499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4634">
              <w:rPr>
                <w:sz w:val="24"/>
                <w:lang w:val="lv-LV"/>
              </w:rPr>
              <w:t xml:space="preserve">18.10.2022. </w:t>
            </w:r>
            <w:r w:rsidRPr="00F9583A" w:rsidR="002B4634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56A7565A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7FD62DC8" w14:textId="704EA71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4634">
              <w:rPr>
                <w:sz w:val="24"/>
                <w:lang w:val="lv-LV"/>
              </w:rPr>
              <w:t xml:space="preserve">Rūjienas Kultūras nama vadītāja Kristīne </w:t>
            </w:r>
            <w:r w:rsidR="002B4634">
              <w:rPr>
                <w:sz w:val="24"/>
                <w:lang w:val="lv-LV"/>
              </w:rPr>
              <w:t>Kotovele-Kožoče</w:t>
            </w:r>
          </w:p>
        </w:tc>
      </w:tr>
      <w:tr w14:paraId="17623C95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6CA8AEE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2B4634" w14:paraId="3BE2EB1B" w14:textId="3A83B825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D437BF" w:rsidRPr="00246554" w:rsidP="009E7280" w14:paraId="510DA736" w14:textId="7BD66615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Pr="003800ED" w:rsidR="00650809">
              <w:rPr>
                <w:sz w:val="24"/>
                <w:lang w:val="lv-LV"/>
              </w:rPr>
              <w:t xml:space="preserve">Bērnu dienas </w:t>
            </w:r>
            <w:r w:rsidR="00650809">
              <w:rPr>
                <w:sz w:val="24"/>
                <w:lang w:val="lv-LV"/>
              </w:rPr>
              <w:t xml:space="preserve">atvērta </w:t>
            </w:r>
            <w:r w:rsidRPr="003800ED" w:rsidR="00650809">
              <w:rPr>
                <w:sz w:val="24"/>
                <w:lang w:val="lv-LV"/>
              </w:rPr>
              <w:t>no</w:t>
            </w:r>
            <w:r w:rsidR="00650809">
              <w:rPr>
                <w:sz w:val="24"/>
                <w:lang w:val="lv-LV"/>
              </w:rPr>
              <w:t>metne tiek organizēta  Rūjienas Kultūras nama 2. stāva zālē. Kultūras nams atrodas Rūjienas centrā</w:t>
            </w:r>
            <w:r w:rsidRPr="003800ED" w:rsidR="00650809">
              <w:rPr>
                <w:sz w:val="24"/>
                <w:lang w:val="lv-LV"/>
              </w:rPr>
              <w:t>.</w:t>
            </w:r>
            <w:r w:rsidR="009E7280">
              <w:rPr>
                <w:sz w:val="24"/>
                <w:lang w:val="lv-LV"/>
              </w:rPr>
              <w:t xml:space="preserve"> Zālē ir iespēja skatīties kino; kopējā platība 209 m</w:t>
            </w:r>
            <w:r w:rsidRPr="009E7280" w:rsidR="009E7280">
              <w:rPr>
                <w:sz w:val="24"/>
                <w:vertAlign w:val="superscript"/>
                <w:lang w:val="lv-LV"/>
              </w:rPr>
              <w:t>2</w:t>
            </w:r>
            <w:r w:rsidRPr="003800ED" w:rsidR="00650809">
              <w:rPr>
                <w:sz w:val="24"/>
                <w:lang w:val="lv-LV"/>
              </w:rPr>
              <w:t xml:space="preserve"> </w:t>
            </w:r>
            <w:r w:rsidR="009E7280">
              <w:rPr>
                <w:sz w:val="24"/>
                <w:lang w:val="lv-LV"/>
              </w:rPr>
              <w:t xml:space="preserve">, pie ieejas zālē izvietoti pakaramie virsdrēbju novietošanai. </w:t>
            </w:r>
            <w:r w:rsidRPr="003800ED" w:rsidR="00650809">
              <w:rPr>
                <w:sz w:val="24"/>
                <w:lang w:val="lv-LV"/>
              </w:rPr>
              <w:t xml:space="preserve">Dalībnieku vecums no </w:t>
            </w:r>
            <w:r w:rsidR="00650809">
              <w:rPr>
                <w:sz w:val="24"/>
                <w:lang w:val="lv-LV"/>
              </w:rPr>
              <w:t>10</w:t>
            </w:r>
            <w:r w:rsidRPr="003800ED" w:rsidR="00650809">
              <w:rPr>
                <w:sz w:val="24"/>
                <w:lang w:val="lv-LV"/>
              </w:rPr>
              <w:t xml:space="preserve"> līdz 1</w:t>
            </w:r>
            <w:r w:rsidR="00650809">
              <w:rPr>
                <w:sz w:val="24"/>
                <w:lang w:val="lv-LV"/>
              </w:rPr>
              <w:t>7</w:t>
            </w:r>
            <w:r w:rsidRPr="003800ED" w:rsidR="00650809">
              <w:rPr>
                <w:sz w:val="24"/>
                <w:lang w:val="lv-LV"/>
              </w:rPr>
              <w:t xml:space="preserve"> gadiem; </w:t>
            </w:r>
            <w:r w:rsidR="00650809">
              <w:rPr>
                <w:sz w:val="24"/>
                <w:lang w:val="lv-LV"/>
              </w:rPr>
              <w:t xml:space="preserve">pieteiktais </w:t>
            </w:r>
            <w:r w:rsidRPr="003800ED" w:rsidR="00650809">
              <w:rPr>
                <w:sz w:val="24"/>
                <w:lang w:val="lv-LV"/>
              </w:rPr>
              <w:t xml:space="preserve">maksimālais dalībnieku skaits </w:t>
            </w:r>
            <w:r w:rsidR="00650809">
              <w:rPr>
                <w:sz w:val="24"/>
                <w:lang w:val="lv-LV"/>
              </w:rPr>
              <w:t xml:space="preserve">nometnē </w:t>
            </w:r>
            <w:r w:rsidRPr="003800ED" w:rsidR="00650809">
              <w:rPr>
                <w:sz w:val="24"/>
                <w:lang w:val="lv-LV"/>
              </w:rPr>
              <w:t xml:space="preserve">– līdz </w:t>
            </w:r>
            <w:r w:rsidR="00650809">
              <w:rPr>
                <w:sz w:val="24"/>
                <w:lang w:val="lv-LV"/>
              </w:rPr>
              <w:t>15</w:t>
            </w:r>
            <w:r w:rsidRPr="003800ED" w:rsidR="00650809">
              <w:rPr>
                <w:sz w:val="24"/>
                <w:lang w:val="lv-LV"/>
              </w:rPr>
              <w:t xml:space="preserve"> bērniem.</w:t>
            </w:r>
            <w:r w:rsidR="009E7280">
              <w:rPr>
                <w:sz w:val="24"/>
                <w:lang w:val="lv-LV"/>
              </w:rPr>
              <w:t xml:space="preserve"> </w:t>
            </w:r>
            <w:r w:rsidR="00650809">
              <w:rPr>
                <w:sz w:val="24"/>
                <w:lang w:val="lv-LV"/>
              </w:rPr>
              <w:t xml:space="preserve"> Nometnes </w:t>
            </w:r>
            <w:r w:rsidRPr="003800ED" w:rsidR="00650809">
              <w:rPr>
                <w:sz w:val="24"/>
                <w:lang w:val="lv-LV"/>
              </w:rPr>
              <w:t xml:space="preserve">vajadzībām </w:t>
            </w:r>
            <w:r w:rsidR="00650809">
              <w:rPr>
                <w:sz w:val="24"/>
                <w:lang w:val="lv-LV"/>
              </w:rPr>
              <w:t>ir pieejamas   higiēnas telpas ēkas 2. stāvā – viena sieviešu tualete (divi klozetpodi atdalīti ar starpsienu, viena duša kabīnē, viena roku mazgātne), viena vīriešu tualete (viens klozetpods, viens pisuārs, viena roku mazgātne, viena duša kabīnē); higiēnas telpas nepieciešamības gadījumā ir pieejamas arī ēkas 1. stāvā</w:t>
            </w:r>
            <w:r w:rsidR="009E7280">
              <w:rPr>
                <w:sz w:val="24"/>
                <w:lang w:val="lv-LV"/>
              </w:rPr>
              <w:t xml:space="preserve">, pie lielās zāles. </w:t>
            </w:r>
            <w:r w:rsidRPr="003800ED" w:rsidR="009E7280">
              <w:rPr>
                <w:sz w:val="24"/>
                <w:lang w:val="lv-LV"/>
              </w:rPr>
              <w:t xml:space="preserve">Ir iespēja ievērot personīgo higiēnu: pieejami roku mazgāšanas un nosusināšanas līdzekļi, tualetes papīrs. </w:t>
            </w:r>
            <w:r w:rsidR="009E7280">
              <w:rPr>
                <w:sz w:val="24"/>
                <w:lang w:val="lv-LV"/>
              </w:rPr>
              <w:t>Rūjienas Kultūras nama t</w:t>
            </w:r>
            <w:r w:rsidRPr="003800ED" w:rsidR="009E7280">
              <w:rPr>
                <w:sz w:val="24"/>
                <w:lang w:val="lv-LV"/>
              </w:rPr>
              <w:t>elpu sastāvs, platība un sanitāri higiēniskais stāvoklis atbilst higiēnas prasībām un nometnes programmai.</w:t>
            </w:r>
            <w:r w:rsidR="009E7280">
              <w:rPr>
                <w:sz w:val="24"/>
                <w:lang w:val="lv-LV"/>
              </w:rPr>
              <w:t xml:space="preserve"> Roku un virsmu dezinfekcijas līdzekļus nodrošinās nometnes vadītājs/ organizētājs; telpu uzkopšanu un dezinfekciju nodrošinās kultūras nama personāls. </w:t>
            </w:r>
            <w:r w:rsidRPr="00882CA4" w:rsidR="009E7280">
              <w:rPr>
                <w:sz w:val="24"/>
                <w:lang w:val="lv-LV"/>
              </w:rPr>
              <w:t xml:space="preserve"> </w:t>
            </w:r>
            <w:r w:rsidRPr="00D84C4B" w:rsidR="009E7280">
              <w:rPr>
                <w:sz w:val="24"/>
                <w:lang w:val="lv-LV"/>
              </w:rPr>
              <w:t xml:space="preserve"> </w:t>
            </w:r>
          </w:p>
          <w:p w:rsidR="00246554" w:rsidRPr="00246554" w:rsidP="00D437BF" w14:paraId="13D4B35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61EFBEBB" w14:textId="710C6B02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Pr="00FA19F3" w:rsidR="009E7280">
              <w:rPr>
                <w:sz w:val="24"/>
                <w:lang w:val="lv-LV"/>
              </w:rPr>
              <w:t>Telpu apdares materiāli ir atbilstoši telpu funkcijai un higiēnas prasībām; ir viegli kopjami un dezinficējami.</w:t>
            </w:r>
            <w:r w:rsidRPr="00FA19F3" w:rsidR="009E7280">
              <w:rPr>
                <w:spacing w:val="-4"/>
                <w:sz w:val="24"/>
                <w:lang w:val="lv-LV"/>
              </w:rPr>
              <w:t xml:space="preserve"> </w:t>
            </w:r>
            <w:r w:rsidRPr="00FA19F3" w:rsidR="009E7280">
              <w:rPr>
                <w:sz w:val="24"/>
                <w:lang w:val="lv-LV"/>
              </w:rPr>
              <w:t xml:space="preserve"> </w:t>
            </w:r>
            <w:r w:rsidRPr="00D84C4B" w:rsidR="009E7280">
              <w:rPr>
                <w:sz w:val="24"/>
                <w:lang w:val="lv-LV"/>
              </w:rPr>
              <w:t xml:space="preserve">     </w:t>
            </w:r>
            <w:r w:rsidRPr="00D84C4B">
              <w:rPr>
                <w:sz w:val="24"/>
                <w:lang w:val="lv-LV"/>
              </w:rPr>
              <w:t xml:space="preserve">  </w:t>
            </w:r>
          </w:p>
          <w:p w:rsidR="00246554" w:rsidP="00D437BF" w14:paraId="4574EE6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9E7280" w:rsidP="00D437BF" w14:paraId="31EA3FBB" w14:textId="2958309A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9E7280">
              <w:rPr>
                <w:bCs/>
                <w:sz w:val="24"/>
                <w:lang w:val="lv-LV"/>
              </w:rPr>
              <w:t>Dabiskais un mākslīgais</w:t>
            </w:r>
            <w:r>
              <w:rPr>
                <w:bCs/>
                <w:sz w:val="24"/>
                <w:lang w:val="lv-LV"/>
              </w:rPr>
              <w:t xml:space="preserve">; vizuāli novērtējot – atbilstošs normatīvo aktu prasībām. </w:t>
            </w:r>
            <w:r w:rsidRPr="009E7280">
              <w:rPr>
                <w:bCs/>
                <w:sz w:val="24"/>
                <w:lang w:val="lv-LV"/>
              </w:rPr>
              <w:t xml:space="preserve"> </w:t>
            </w:r>
          </w:p>
          <w:p w:rsidR="00CF27A6" w:rsidP="00D437BF" w14:paraId="029BB4C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P="00D437BF" w14:paraId="2A726FC9" w14:textId="15CE52E1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 w:rsidRPr="009E7280">
              <w:rPr>
                <w:spacing w:val="-2"/>
                <w:sz w:val="24"/>
                <w:lang w:val="lv-LV"/>
              </w:rPr>
              <w:t xml:space="preserve">Centralizēta; </w:t>
            </w:r>
            <w:r w:rsidRPr="009E7280">
              <w:rPr>
                <w:spacing w:val="-2"/>
                <w:sz w:val="24"/>
                <w:lang w:val="lv-LV"/>
              </w:rPr>
              <w:t>pieslēgums</w:t>
            </w:r>
            <w:r w:rsidRPr="009E7280">
              <w:rPr>
                <w:spacing w:val="-2"/>
                <w:sz w:val="24"/>
                <w:lang w:val="lv-LV"/>
              </w:rPr>
              <w:t xml:space="preserve"> Rūjienas pilsētas siltumapgādes sistēmai; ir iespēja nodrošināt autonomo apkuri.</w:t>
            </w:r>
          </w:p>
          <w:p w:rsidR="001A7536" w:rsidRPr="009E7280" w:rsidP="00D437BF" w14:paraId="274E46D3" w14:textId="77777777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</w:p>
          <w:p w:rsidR="00CF27A6" w:rsidP="00A7576E" w14:paraId="03374ECA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9E7280" w:rsidP="00D437BF" w14:paraId="7BD63A8D" w14:textId="43F2BF2A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 w:rsidRPr="009E7280">
              <w:rPr>
                <w:bCs/>
                <w:sz w:val="24"/>
                <w:lang w:val="lv-LV"/>
              </w:rPr>
              <w:t>Zālē</w:t>
            </w:r>
            <w:r>
              <w:rPr>
                <w:bCs/>
                <w:sz w:val="24"/>
                <w:lang w:val="lv-LV"/>
              </w:rPr>
              <w:t xml:space="preserve"> gar vienu sienu ir atverami logi; renovējot ēku piespiedu ventilācija nav ierīkota; tualetēs saglabāta dabīgā ventilācija un ir atverami logi. Telpas ir ar augstiem griestiem (vairāk kā 2,7 m).  </w:t>
            </w:r>
          </w:p>
          <w:p w:rsidR="002213CB" w:rsidRPr="000964F0" w:rsidP="00D437BF" w14:paraId="649122A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083D68" w14:paraId="2EEAE23E" w14:textId="45A58821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Centralizēta; </w:t>
            </w:r>
            <w:r>
              <w:rPr>
                <w:sz w:val="24"/>
                <w:lang w:val="lv-LV"/>
              </w:rPr>
              <w:t>pieslēgums</w:t>
            </w:r>
            <w:r>
              <w:rPr>
                <w:sz w:val="24"/>
                <w:lang w:val="lv-LV"/>
              </w:rPr>
              <w:t xml:space="preserve"> Rūjienas pilsētas ūdensapgādes sistēmai</w:t>
            </w:r>
            <w:r w:rsidRPr="00AA6E85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Siltais ūdens tiek nodrošināts ar elektrisko ūdens sildītāju.</w:t>
            </w:r>
          </w:p>
          <w:p w:rsidR="002213CB" w:rsidRPr="000964F0" w:rsidP="00A7576E" w14:paraId="03F63740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341DA" w14:paraId="17B233BF" w14:textId="74AD67C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="009E7280">
              <w:rPr>
                <w:sz w:val="24"/>
                <w:lang w:val="lv-LV"/>
              </w:rPr>
              <w:t xml:space="preserve">Centralizēta; </w:t>
            </w:r>
            <w:r w:rsidR="009E7280">
              <w:rPr>
                <w:sz w:val="24"/>
                <w:lang w:val="lv-LV"/>
              </w:rPr>
              <w:t>pieslēgums</w:t>
            </w:r>
            <w:r w:rsidR="009E7280">
              <w:rPr>
                <w:sz w:val="24"/>
                <w:lang w:val="lv-LV"/>
              </w:rPr>
              <w:t xml:space="preserve"> Rūjienas pilsētas inženiertehniskajiem tīkliem</w:t>
            </w:r>
            <w:r w:rsidRPr="00FA19F3" w:rsidR="009E7280">
              <w:rPr>
                <w:sz w:val="24"/>
                <w:lang w:val="lv-LV"/>
              </w:rPr>
              <w:t>.</w:t>
            </w:r>
            <w:r w:rsidRPr="00D84C4B" w:rsidR="009E7280">
              <w:rPr>
                <w:sz w:val="24"/>
                <w:lang w:val="lv-LV"/>
              </w:rPr>
              <w:t xml:space="preserve">     </w:t>
            </w:r>
            <w:r w:rsidRPr="00D84C4B">
              <w:rPr>
                <w:sz w:val="24"/>
                <w:lang w:val="lv-LV"/>
              </w:rPr>
              <w:t xml:space="preserve">  </w:t>
            </w:r>
          </w:p>
          <w:p w:rsidR="002213CB" w:rsidRPr="000964F0" w:rsidP="008179CE" w14:paraId="2A77E148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540A5827" w14:textId="60C76051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</w:t>
            </w:r>
            <w:r w:rsidR="00CA26F5">
              <w:rPr>
                <w:sz w:val="24"/>
                <w:lang w:val="lv-LV"/>
              </w:rPr>
              <w:t>Teritorija sakopta, labiekārtota.</w:t>
            </w:r>
            <w:r w:rsidRPr="00D84C4B">
              <w:rPr>
                <w:sz w:val="24"/>
                <w:lang w:val="lv-LV"/>
              </w:rPr>
              <w:t xml:space="preserve"> </w:t>
            </w:r>
          </w:p>
          <w:p w:rsidR="002E3FF9" w:rsidRPr="000964F0" w:rsidP="00D437BF" w14:paraId="2BE4B79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006328FF" w14:textId="47521F1F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Ēkā ir nodrošināta vides pieejamība – ir pacēlājs uz otro stāvu, pirmajā stāvā ir tualetes telpa ar vides pieejamību.</w:t>
            </w:r>
          </w:p>
          <w:p w:rsidR="00A7176E" w:rsidRPr="000964F0" w:rsidP="00D437BF" w14:paraId="772860A7" w14:textId="00FFD244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1A7536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3341DA" w14:paraId="6310D257" w14:textId="15135182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</w:p>
        </w:tc>
      </w:tr>
      <w:tr w14:paraId="09EE374F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2EBAE5F7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CA26F5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A3DA7" w:rsidP="00F90373" w14:paraId="65C677C9" w14:textId="6D447197">
            <w:pPr>
              <w:rPr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b/>
                <w:sz w:val="24"/>
                <w:lang w:val="lv-LV"/>
              </w:rPr>
              <w:t>Rūjienas Kultūras nama telpas,</w:t>
            </w:r>
            <w:r w:rsidRPr="00D56839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Upes ielā 9, Rūjienā</w:t>
            </w:r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Valmieras</w:t>
            </w:r>
            <w:r w:rsidRPr="00025FAE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>
              <w:rPr>
                <w:b/>
                <w:sz w:val="24"/>
                <w:lang w:val="lv-LV"/>
              </w:rPr>
              <w:t>.</w:t>
            </w:r>
          </w:p>
        </w:tc>
      </w:tr>
      <w:tr w14:paraId="46628839" w14:textId="77777777" w:rsidTr="001A753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2CC8AA6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F90373" w:rsidRPr="001D728A" w:rsidP="00F90373" w14:paraId="1B6FA771" w14:textId="4BCB2F4E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1. </w:t>
            </w:r>
            <w:r w:rsidRPr="001D728A">
              <w:rPr>
                <w:sz w:val="24"/>
                <w:lang w:val="lv-LV"/>
              </w:rPr>
              <w:t>Nodrošināt Ministru kabineta 2009. gada 1. septembra noteikumu Nr.</w:t>
            </w:r>
            <w:r w:rsidR="001A7536">
              <w:rPr>
                <w:sz w:val="24"/>
                <w:lang w:val="lv-LV"/>
              </w:rPr>
              <w:t xml:space="preserve"> </w:t>
            </w:r>
            <w:r w:rsidRPr="001D728A">
              <w:rPr>
                <w:sz w:val="24"/>
                <w:lang w:val="lv-LV"/>
              </w:rPr>
              <w:t xml:space="preserve">981 </w:t>
            </w:r>
            <w:r w:rsidR="001A7536">
              <w:rPr>
                <w:sz w:val="24"/>
                <w:lang w:val="lv-LV"/>
              </w:rPr>
              <w:t>“</w:t>
            </w:r>
            <w:r w:rsidRPr="001D728A">
              <w:rPr>
                <w:sz w:val="24"/>
                <w:lang w:val="lv-LV"/>
              </w:rPr>
              <w:t>Bērnu nometņu organizēšanas un darbības kārtība” prasību izpildi</w:t>
            </w:r>
            <w:r w:rsidRPr="001D728A">
              <w:rPr>
                <w:color w:val="000000"/>
                <w:sz w:val="24"/>
                <w:lang w:val="lv-LV"/>
              </w:rPr>
              <w:t>.</w:t>
            </w:r>
          </w:p>
          <w:p w:rsidR="00F90373" w:rsidRPr="00696BBA" w:rsidP="00F90373" w14:paraId="257768F4" w14:textId="2F359C2E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96BBA">
              <w:rPr>
                <w:rFonts w:ascii="Times New Roman" w:hAnsi="Times New Roman"/>
                <w:sz w:val="24"/>
                <w:szCs w:val="24"/>
              </w:rPr>
              <w:t>Nodrošināt Ministru kabineta 2021. gada 28. septembra noteikumu Nr.</w:t>
            </w:r>
            <w:r w:rsidR="001A7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6BBA">
              <w:rPr>
                <w:rFonts w:ascii="Times New Roman" w:hAnsi="Times New Roman"/>
                <w:sz w:val="24"/>
                <w:szCs w:val="24"/>
              </w:rPr>
              <w:t xml:space="preserve">662 </w:t>
            </w:r>
            <w:r w:rsidR="001A7536">
              <w:rPr>
                <w:rFonts w:ascii="Times New Roman" w:hAnsi="Times New Roman"/>
                <w:sz w:val="24"/>
                <w:szCs w:val="24"/>
              </w:rPr>
              <w:t>“</w:t>
            </w:r>
            <w:r w:rsidRPr="00696BBA">
              <w:rPr>
                <w:rFonts w:ascii="Times New Roman" w:hAnsi="Times New Roman"/>
                <w:sz w:val="24"/>
                <w:szCs w:val="24"/>
              </w:rPr>
              <w:t xml:space="preserve">Epidemioloģiskās drošības pasākumi Covid-19 infekcijas izplatības ierobežošanai” </w:t>
            </w:r>
            <w:r w:rsidRPr="00696BBA">
              <w:rPr>
                <w:rFonts w:ascii="Times New Roman" w:hAnsi="Times New Roman"/>
                <w:bCs/>
                <w:sz w:val="24"/>
                <w:szCs w:val="24"/>
              </w:rPr>
              <w:t>vispārējo  un speciālo epidemioloģiskās drošības</w:t>
            </w:r>
            <w:r w:rsidRPr="00696B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6BBA">
              <w:rPr>
                <w:rFonts w:ascii="Times New Roman" w:hAnsi="Times New Roman"/>
                <w:sz w:val="24"/>
                <w:szCs w:val="24"/>
              </w:rPr>
              <w:t xml:space="preserve">prasību izpildi. </w:t>
            </w:r>
          </w:p>
          <w:p w:rsidR="00F90373" w:rsidRPr="00696BBA" w:rsidP="00F90373" w14:paraId="71021661" w14:textId="68F652B2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96BBA">
              <w:rPr>
                <w:rFonts w:ascii="Times New Roman" w:hAnsi="Times New Roman"/>
                <w:sz w:val="24"/>
                <w:szCs w:val="24"/>
              </w:rPr>
              <w:t xml:space="preserve">Nometņu darbības laikā ievērot </w:t>
            </w:r>
            <w:r w:rsidRPr="006559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Valsts izglītības satura centra</w:t>
            </w:r>
            <w:r w:rsidRPr="006559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A7536">
              <w:rPr>
                <w:rFonts w:ascii="Times New Roman" w:hAnsi="Times New Roman"/>
                <w:sz w:val="24"/>
                <w:szCs w:val="24"/>
              </w:rPr>
              <w:t>“</w:t>
            </w:r>
            <w:r w:rsidRPr="00696BBA">
              <w:rPr>
                <w:rFonts w:ascii="Times New Roman" w:hAnsi="Times New Roman"/>
                <w:sz w:val="24"/>
                <w:szCs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4108" w:rsidRPr="00F90373" w:rsidP="00F90373" w14:paraId="4BEFB794" w14:textId="78217AD9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4"/>
                <w:u w:val="single"/>
                <w:lang w:val="lv-LV"/>
              </w:rPr>
            </w:pPr>
            <w:r w:rsidRPr="004F57C0">
              <w:rPr>
                <w:sz w:val="24"/>
                <w:lang w:val="lv-LV"/>
              </w:rPr>
              <w:t xml:space="preserve">4. Iepazīties un sekot līdz Slimību profilakses un kontroles centra sniegtajām rekomendācijām par priekšmetu un virsmu tīrīšanu un dezinfekciju, kā arī </w:t>
            </w:r>
            <w:r w:rsidRPr="004F57C0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</w:tc>
      </w:tr>
    </w:tbl>
    <w:p w:rsidR="002A39F3" w:rsidP="002A39F3" w14:paraId="4D10DC48" w14:textId="77777777">
      <w:pPr>
        <w:jc w:val="both"/>
        <w:rPr>
          <w:sz w:val="24"/>
          <w:lang w:val="lv-LV"/>
        </w:rPr>
      </w:pPr>
    </w:p>
    <w:p w:rsidR="007F2704" w:rsidP="002A39F3" w14:paraId="534C64EA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1F122105" w14:textId="77777777" w:rsidTr="001A7536">
        <w:tblPrEx>
          <w:tblW w:w="0" w:type="auto"/>
          <w:tblLook w:val="04A0"/>
        </w:tblPrEx>
        <w:tc>
          <w:tcPr>
            <w:tcW w:w="6270" w:type="dxa"/>
            <w:hideMark/>
          </w:tcPr>
          <w:p w:rsidR="00F90373" w:rsidP="00F90373" w14:paraId="1A50552D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7F2704" w:rsidP="00F90373" w14:paraId="032B04F8" w14:textId="16E0609D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7F2704" w:rsidP="003F4FB2" w14:paraId="246A625B" w14:textId="77777777">
            <w:pPr>
              <w:rPr>
                <w:sz w:val="24"/>
                <w:lang w:val="lv-LV"/>
              </w:rPr>
            </w:pPr>
          </w:p>
          <w:p w:rsidR="007F2704" w:rsidP="001A7536" w14:paraId="204C02BF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7F2704" w:rsidP="007F2704" w14:paraId="1589892C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586013F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A600861" w14:textId="77777777" w:rsidTr="001A7536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78EB6A7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EA8C373" w14:textId="77777777" w:rsidTr="001A7536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F2704" w:rsidRPr="008E62F0" w:rsidP="003F4FB2" w14:paraId="512E776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FB48CC" w:rsidP="00D84C4B" w14:paraId="2B5F02B9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2161092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22A99AF4" w14:textId="77777777">
    <w:pPr>
      <w:pStyle w:val="Footer"/>
      <w:rPr>
        <w:sz w:val="20"/>
        <w:lang w:val="lv-LV"/>
      </w:rPr>
    </w:pPr>
  </w:p>
  <w:p w:rsidR="002E3FF9" w:rsidRPr="00E53C2B" w:rsidP="00E53C2B" w14:paraId="5FAA3E6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5F1C7F9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356FF5F" w14:textId="77777777">
    <w:pPr>
      <w:pStyle w:val="Footer"/>
      <w:rPr>
        <w:sz w:val="20"/>
        <w:lang w:val="lv-LV"/>
      </w:rPr>
    </w:pPr>
  </w:p>
  <w:p w:rsidR="002E3FF9" w:rsidRPr="00022614" w14:paraId="1B8FB89B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11FC10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1A753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0A3C57A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0CED816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0E8ACBC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3875C0DA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63571A4A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1F9880B2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388DF126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8691965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20.10.2022</w:t>
          </w:r>
        </w:p>
        <w:p w:rsidR="002E3FF9" w:rsidP="00C752CC" w14:paraId="33000252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2265DA5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2.4.8.-14/1108</w:t>
          </w:r>
        </w:p>
      </w:tc>
    </w:tr>
  </w:tbl>
  <w:p w:rsidR="002E3FF9" w:rsidRPr="00783D52" w:rsidP="00633DAF" w14:paraId="18743A1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3DE58ED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7535" w:rsidP="00327535" w14:paraId="2AA501E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327535" w:rsidP="00327535" w14:paraId="1746DF2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2E3FF9" w:rsidRPr="00633DAF" w:rsidP="00633DAF" w14:paraId="14EC762D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473B6"/>
    <w:multiLevelType w:val="hybridMultilevel"/>
    <w:tmpl w:val="A7C83A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8"/>
  </w:num>
  <w:num w:numId="8">
    <w:abstractNumId w:val="2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25FAE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27B2"/>
    <w:rsid w:val="00182E1B"/>
    <w:rsid w:val="001849BB"/>
    <w:rsid w:val="00185E48"/>
    <w:rsid w:val="00196AAD"/>
    <w:rsid w:val="001A01E9"/>
    <w:rsid w:val="001A06F3"/>
    <w:rsid w:val="001A7536"/>
    <w:rsid w:val="001B2A25"/>
    <w:rsid w:val="001B33C1"/>
    <w:rsid w:val="001B5085"/>
    <w:rsid w:val="001D728A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B4634"/>
    <w:rsid w:val="002C665A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800ED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27DB1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4F57C0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0809"/>
    <w:rsid w:val="00652EBB"/>
    <w:rsid w:val="0065590A"/>
    <w:rsid w:val="0068137B"/>
    <w:rsid w:val="006834AF"/>
    <w:rsid w:val="00696BBA"/>
    <w:rsid w:val="006B6E15"/>
    <w:rsid w:val="006C066D"/>
    <w:rsid w:val="006D43A1"/>
    <w:rsid w:val="006D6ACF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F2704"/>
    <w:rsid w:val="00810FA9"/>
    <w:rsid w:val="008179CE"/>
    <w:rsid w:val="00822BBD"/>
    <w:rsid w:val="008355A6"/>
    <w:rsid w:val="00840480"/>
    <w:rsid w:val="00842E5D"/>
    <w:rsid w:val="008525E4"/>
    <w:rsid w:val="00872DDD"/>
    <w:rsid w:val="00881721"/>
    <w:rsid w:val="00882CA4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E62F0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919AA"/>
    <w:rsid w:val="009B4FCF"/>
    <w:rsid w:val="009B58B6"/>
    <w:rsid w:val="009C7C74"/>
    <w:rsid w:val="009D2BEB"/>
    <w:rsid w:val="009E5EB3"/>
    <w:rsid w:val="009E625D"/>
    <w:rsid w:val="009E7280"/>
    <w:rsid w:val="009F5F1F"/>
    <w:rsid w:val="00A0044F"/>
    <w:rsid w:val="00A02B48"/>
    <w:rsid w:val="00A10828"/>
    <w:rsid w:val="00A1539A"/>
    <w:rsid w:val="00A26FE5"/>
    <w:rsid w:val="00A31F56"/>
    <w:rsid w:val="00A32178"/>
    <w:rsid w:val="00A47DD5"/>
    <w:rsid w:val="00A50189"/>
    <w:rsid w:val="00A51A91"/>
    <w:rsid w:val="00A54A76"/>
    <w:rsid w:val="00A7176E"/>
    <w:rsid w:val="00A71A45"/>
    <w:rsid w:val="00A731DE"/>
    <w:rsid w:val="00A7576E"/>
    <w:rsid w:val="00A81D88"/>
    <w:rsid w:val="00A850DB"/>
    <w:rsid w:val="00A8594B"/>
    <w:rsid w:val="00A93E38"/>
    <w:rsid w:val="00A945E8"/>
    <w:rsid w:val="00AA6E85"/>
    <w:rsid w:val="00AB48C7"/>
    <w:rsid w:val="00AB4FB4"/>
    <w:rsid w:val="00AB5F35"/>
    <w:rsid w:val="00AD4E4E"/>
    <w:rsid w:val="00AE06D7"/>
    <w:rsid w:val="00AF6968"/>
    <w:rsid w:val="00B22CEB"/>
    <w:rsid w:val="00B43275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26F5"/>
    <w:rsid w:val="00CA6198"/>
    <w:rsid w:val="00CA75C7"/>
    <w:rsid w:val="00CA7CFD"/>
    <w:rsid w:val="00CE0BB8"/>
    <w:rsid w:val="00CF27A6"/>
    <w:rsid w:val="00D00A94"/>
    <w:rsid w:val="00D03C1D"/>
    <w:rsid w:val="00D13CD3"/>
    <w:rsid w:val="00D1528A"/>
    <w:rsid w:val="00D157DB"/>
    <w:rsid w:val="00D20B94"/>
    <w:rsid w:val="00D22AA0"/>
    <w:rsid w:val="00D25B44"/>
    <w:rsid w:val="00D32DF1"/>
    <w:rsid w:val="00D3465C"/>
    <w:rsid w:val="00D41D86"/>
    <w:rsid w:val="00D437BF"/>
    <w:rsid w:val="00D56169"/>
    <w:rsid w:val="00D5683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0373"/>
    <w:rsid w:val="00F92539"/>
    <w:rsid w:val="00F9583A"/>
    <w:rsid w:val="00F96A56"/>
    <w:rsid w:val="00FA19F3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27F8D9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491</Words>
  <Characters>3489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2017-09-20T12:25:00Z</cp:lastPrinted>
  <dcterms:created xsi:type="dcterms:W3CDTF">2022-10-19T14:23:00Z</dcterms:created>
  <dcterms:modified xsi:type="dcterms:W3CDTF">2022-10-20T06:33:00Z</dcterms:modified>
</cp:coreProperties>
</file>