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>
            <w:pPr>
              <w:jc w:val="center"/>
              <w:rPr>
                <w:bCs/>
                <w:sz w:val="24"/>
                <w:lang w:val="lv-LV"/>
              </w:rPr>
            </w:pPr>
            <w:r w:rsidR="00FF4658">
              <w:rPr>
                <w:bCs/>
                <w:noProof/>
                <w:sz w:val="22"/>
                <w:szCs w:val="22"/>
              </w:rPr>
              <w:t>06.06.2022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080EF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080EFB">
              <w:rPr>
                <w:sz w:val="24"/>
                <w:lang w:val="lv-LV"/>
              </w:rPr>
              <w:t xml:space="preserve">Bērnu </w:t>
            </w:r>
            <w:r w:rsidR="00080EFB">
              <w:rPr>
                <w:sz w:val="24"/>
                <w:lang w:val="lv-LV"/>
              </w:rPr>
              <w:t>dienas nometnes „AKTĪVISTS JŪRMALA 2022”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80EF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80EFB">
              <w:rPr>
                <w:sz w:val="24"/>
                <w:lang w:val="lv-LV"/>
              </w:rPr>
              <w:t xml:space="preserve">Nomnieks – Biedrība „AKTĪVISTS”, reģistrācijas Nr. </w:t>
            </w:r>
            <w:r w:rsidRPr="007F6E51" w:rsidR="00080EFB">
              <w:rPr>
                <w:sz w:val="24"/>
                <w:lang w:val="lv-LV"/>
              </w:rPr>
              <w:t>40008192860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80EF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80EFB">
              <w:rPr>
                <w:sz w:val="24"/>
                <w:lang w:val="lv-LV"/>
              </w:rPr>
              <w:t>Jūras iela 23/25,</w:t>
            </w:r>
            <w:r w:rsidRPr="007F6E51" w:rsidR="00080EFB">
              <w:rPr>
                <w:sz w:val="24"/>
                <w:lang w:val="lv-LV"/>
              </w:rPr>
              <w:t xml:space="preserve"> Jūrmala</w:t>
            </w:r>
          </w:p>
        </w:tc>
      </w:tr>
      <w:tr w:rsidTr="00C93598">
        <w:tblPrEx>
          <w:tblW w:w="0" w:type="auto"/>
          <w:tblInd w:w="108" w:type="dxa"/>
          <w:tblLook w:val="04A0"/>
        </w:tblPrEx>
        <w:trPr>
          <w:trHeight w:val="32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915CB9" w:rsidP="00080EF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C93598">
              <w:rPr>
                <w:b/>
                <w:sz w:val="24"/>
                <w:lang w:val="lv-LV"/>
              </w:rPr>
              <w:t xml:space="preserve"> </w:t>
            </w:r>
            <w:r w:rsidR="00080EFB">
              <w:rPr>
                <w:sz w:val="24"/>
                <w:lang w:val="lv-LV"/>
              </w:rPr>
              <w:t>27.05</w:t>
            </w:r>
            <w:r w:rsidR="00D12C07">
              <w:rPr>
                <w:sz w:val="24"/>
                <w:lang w:val="lv-LV"/>
              </w:rPr>
              <w:t>.2022. vides veselības analītiķe Jeļena Gorjačev</w:t>
            </w:r>
            <w:r w:rsidR="00080EFB">
              <w:rPr>
                <w:sz w:val="24"/>
                <w:lang w:val="lv-LV"/>
              </w:rPr>
              <w:t>a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524E5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="00EB5912">
              <w:rPr>
                <w:b/>
                <w:sz w:val="24"/>
                <w:lang w:val="lv-LV"/>
              </w:rPr>
              <w:t xml:space="preserve">: </w:t>
            </w:r>
            <w:r w:rsidR="00080EFB">
              <w:rPr>
                <w:sz w:val="24"/>
                <w:lang w:val="lv-LV"/>
              </w:rPr>
              <w:t xml:space="preserve">SIA „BHH </w:t>
            </w:r>
            <w:r w:rsidR="00080EFB">
              <w:rPr>
                <w:sz w:val="24"/>
                <w:lang w:val="lv-LV"/>
              </w:rPr>
              <w:t>Investments</w:t>
            </w:r>
            <w:r w:rsidR="00080EFB">
              <w:rPr>
                <w:sz w:val="24"/>
                <w:lang w:val="lv-LV"/>
              </w:rPr>
              <w:t xml:space="preserve">” pārdošanas direktors Oļegs </w:t>
            </w:r>
            <w:r w:rsidR="00080EFB">
              <w:rPr>
                <w:sz w:val="24"/>
                <w:lang w:val="lv-LV"/>
              </w:rPr>
              <w:t>Bļinovs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43F4A" w:rsidP="00D84C4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206FE1" w:rsidP="00206FE1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Biedrība „AKTĪVISTS” organizē bērnu dienas nometnes viesnīcas „</w:t>
            </w:r>
            <w:r>
              <w:rPr>
                <w:sz w:val="24"/>
                <w:lang w:val="lv-LV"/>
              </w:rPr>
              <w:t>Baltic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Beach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hotel</w:t>
            </w:r>
            <w:r>
              <w:rPr>
                <w:sz w:val="24"/>
                <w:lang w:val="lv-LV"/>
              </w:rPr>
              <w:t>&amp; SPA” konferenču telpās. Nometne sāksies 06.06.2022. un il</w:t>
            </w:r>
            <w:r w:rsidR="00B66279">
              <w:rPr>
                <w:sz w:val="24"/>
                <w:lang w:val="lv-LV"/>
              </w:rPr>
              <w:t xml:space="preserve">gs līdz 28.08.2022. Katrā maiņā piedalīsies līdz 50 dalībniekiem. </w:t>
            </w:r>
            <w:r w:rsidR="00F76237">
              <w:rPr>
                <w:sz w:val="24"/>
                <w:lang w:val="lv-LV"/>
              </w:rPr>
              <w:t xml:space="preserve">Darbības laiks no plkst. 9:00 līdz 17:00. </w:t>
            </w:r>
          </w:p>
          <w:p w:rsidR="00206FE1" w:rsidP="005045F3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Ar</w:t>
            </w:r>
            <w:r w:rsidR="00F76237">
              <w:rPr>
                <w:sz w:val="24"/>
                <w:lang w:val="lv-LV"/>
              </w:rPr>
              <w:t xml:space="preserve"> viesnīcas</w:t>
            </w:r>
            <w:r>
              <w:rPr>
                <w:sz w:val="24"/>
                <w:lang w:val="lv-LV"/>
              </w:rPr>
              <w:t xml:space="preserve"> īpašnieku ir noslēgts līgums par telpu izmantošanu. Konferenču telpas atrodas </w:t>
            </w:r>
            <w:r w:rsidR="00171E9B">
              <w:rPr>
                <w:sz w:val="24"/>
                <w:lang w:val="lv-LV"/>
              </w:rPr>
              <w:t xml:space="preserve">viesnīcas pirmajā </w:t>
            </w:r>
            <w:r>
              <w:rPr>
                <w:sz w:val="24"/>
                <w:lang w:val="lv-LV"/>
              </w:rPr>
              <w:t>stāvā</w:t>
            </w:r>
            <w:r w:rsidR="00A51EC0">
              <w:rPr>
                <w:sz w:val="24"/>
                <w:lang w:val="lv-LV"/>
              </w:rPr>
              <w:t xml:space="preserve"> (</w:t>
            </w:r>
            <w:r w:rsidR="00F76237">
              <w:rPr>
                <w:sz w:val="24"/>
                <w:lang w:val="lv-LV"/>
              </w:rPr>
              <w:t xml:space="preserve">„Krasts” – 114 </w:t>
            </w:r>
            <w:r w:rsidRPr="00F76237" w:rsidR="00F76237">
              <w:rPr>
                <w:sz w:val="24"/>
                <w:lang w:val="lv-LV"/>
              </w:rPr>
              <w:t>m</w:t>
            </w:r>
            <w:r w:rsidRPr="00A51EC0" w:rsidR="00F76237">
              <w:rPr>
                <w:sz w:val="24"/>
                <w:vertAlign w:val="superscript"/>
                <w:lang w:val="lv-LV"/>
              </w:rPr>
              <w:t>2</w:t>
            </w:r>
            <w:r w:rsidR="00F76237">
              <w:rPr>
                <w:sz w:val="24"/>
                <w:lang w:val="lv-LV"/>
              </w:rPr>
              <w:t xml:space="preserve"> un citas līdzīgas konferenču telpas)</w:t>
            </w:r>
            <w:r>
              <w:rPr>
                <w:sz w:val="24"/>
                <w:lang w:val="lv-LV"/>
              </w:rPr>
              <w:t>, kā arī koplietošanas telpas un vairākas tualetes t</w:t>
            </w:r>
            <w:r w:rsidR="00F76237">
              <w:rPr>
                <w:sz w:val="24"/>
                <w:lang w:val="lv-LV"/>
              </w:rPr>
              <w:t xml:space="preserve">elpas. </w:t>
            </w:r>
            <w:r w:rsidRPr="00F76237">
              <w:rPr>
                <w:sz w:val="24"/>
                <w:lang w:val="lv-LV"/>
              </w:rPr>
              <w:t>Viesnīcā</w:t>
            </w:r>
            <w:r>
              <w:rPr>
                <w:sz w:val="24"/>
                <w:lang w:val="lv-LV"/>
              </w:rPr>
              <w:t xml:space="preserve"> ir peldbaseins. Peldbaseina kompleksā</w:t>
            </w:r>
            <w:r w:rsidR="00F76237">
              <w:rPr>
                <w:sz w:val="24"/>
                <w:lang w:val="lv-LV"/>
              </w:rPr>
              <w:t xml:space="preserve"> ir</w:t>
            </w:r>
            <w:r>
              <w:rPr>
                <w:sz w:val="24"/>
                <w:lang w:val="lv-LV"/>
              </w:rPr>
              <w:t xml:space="preserve"> meiteņu un zēnu ģ</w:t>
            </w:r>
            <w:r w:rsidRPr="000238DA">
              <w:rPr>
                <w:sz w:val="24"/>
                <w:lang w:val="lv-LV"/>
              </w:rPr>
              <w:t>ērbtuves ar dušas telpu un tualeti.</w:t>
            </w:r>
            <w:r>
              <w:rPr>
                <w:sz w:val="24"/>
                <w:lang w:val="lv-LV"/>
              </w:rPr>
              <w:t xml:space="preserve"> </w:t>
            </w:r>
            <w:r w:rsidRPr="00D80E15">
              <w:rPr>
                <w:sz w:val="24"/>
                <w:lang w:val="lv-LV"/>
              </w:rPr>
              <w:t>Tualetes</w:t>
            </w:r>
            <w:r>
              <w:rPr>
                <w:sz w:val="24"/>
                <w:lang w:val="lv-LV"/>
              </w:rPr>
              <w:t xml:space="preserve"> telpās higiēnas </w:t>
            </w:r>
            <w:r w:rsidRPr="00D80E15">
              <w:rPr>
                <w:sz w:val="24"/>
                <w:lang w:val="lv-LV"/>
              </w:rPr>
              <w:t>ievērošanas apstākļi ir nodrošināti. Sanitārās ierīces ir darba kārtībā.</w:t>
            </w:r>
          </w:p>
          <w:p w:rsidR="00740A13" w:rsidRPr="00915CB9" w:rsidP="005045F3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Programmā ir paredzētas izglītojošas ekskursijas, tematiskie pasākumi, rokdarbi, baseina apmeklējums un citas aizraujošas aktivitātes. Dalībnieku ēdināšana tiks organizēta viesnīcā divas reizes dienā ( pusdienas, launags). </w:t>
            </w:r>
            <w:r>
              <w:rPr>
                <w:sz w:val="24"/>
                <w:lang w:val="lv-LV"/>
              </w:rPr>
              <w:t xml:space="preserve">Nometnes vadītāja </w:t>
            </w:r>
            <w:r w:rsidR="00D12C07">
              <w:rPr>
                <w:sz w:val="24"/>
                <w:lang w:val="lv-LV"/>
              </w:rPr>
              <w:t>–</w:t>
            </w:r>
            <w:r>
              <w:rPr>
                <w:sz w:val="24"/>
                <w:lang w:val="lv-LV"/>
              </w:rPr>
              <w:t xml:space="preserve"> </w:t>
            </w:r>
            <w:r w:rsidR="00206FE1">
              <w:rPr>
                <w:sz w:val="24"/>
                <w:lang w:val="lv-LV"/>
              </w:rPr>
              <w:t xml:space="preserve">Jurijs </w:t>
            </w:r>
            <w:r w:rsidRPr="00206FE1" w:rsidR="00206FE1">
              <w:rPr>
                <w:sz w:val="24"/>
                <w:lang w:val="lv-LV"/>
              </w:rPr>
              <w:t>Zunde-Zakevičs</w:t>
            </w:r>
            <w:r w:rsidRPr="00740A13">
              <w:rPr>
                <w:sz w:val="24"/>
                <w:lang w:val="lv-LV"/>
              </w:rPr>
              <w:t>,</w:t>
            </w:r>
            <w:r w:rsidRPr="00740A13">
              <w:rPr>
                <w:sz w:val="24"/>
                <w:lang w:val="lv-LV"/>
              </w:rPr>
              <w:t xml:space="preserve"> bērnu nomet</w:t>
            </w:r>
            <w:r>
              <w:rPr>
                <w:sz w:val="24"/>
                <w:lang w:val="lv-LV"/>
              </w:rPr>
              <w:t>ņu vadītāja</w:t>
            </w:r>
            <w:r w:rsidR="004C2645">
              <w:rPr>
                <w:sz w:val="24"/>
                <w:lang w:val="lv-LV"/>
              </w:rPr>
              <w:t>s</w:t>
            </w:r>
            <w:r w:rsidR="00D12C07">
              <w:rPr>
                <w:sz w:val="24"/>
                <w:lang w:val="lv-LV"/>
              </w:rPr>
              <w:t xml:space="preserve"> apliecības Nr.</w:t>
            </w:r>
            <w:r w:rsidRPr="00206FE1" w:rsidR="00206FE1">
              <w:rPr>
                <w:lang w:val="lv-LV"/>
              </w:rPr>
              <w:t xml:space="preserve"> </w:t>
            </w:r>
            <w:r w:rsidRPr="00206FE1" w:rsidR="00206FE1">
              <w:rPr>
                <w:sz w:val="24"/>
                <w:lang w:val="lv-LV"/>
              </w:rPr>
              <w:t>SP 000286</w:t>
            </w:r>
            <w:r>
              <w:rPr>
                <w:sz w:val="24"/>
                <w:lang w:val="lv-LV"/>
              </w:rPr>
              <w:t xml:space="preserve">, tālrunis </w:t>
            </w:r>
            <w:r w:rsidRPr="00206FE1" w:rsidR="00206FE1">
              <w:rPr>
                <w:sz w:val="24"/>
                <w:lang w:val="lv-LV"/>
              </w:rPr>
              <w:t>27228181</w:t>
            </w:r>
            <w:r w:rsidR="00206FE1">
              <w:rPr>
                <w:sz w:val="24"/>
                <w:lang w:val="lv-LV"/>
              </w:rPr>
              <w:t>.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5D576A" w:rsidRPr="005D576A" w:rsidP="005D576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 apdarei izmantotie materiāli ir cilvēku veselībai nekaitīgi un atbilst telpu izmantošanas</w:t>
            </w:r>
          </w:p>
          <w:p w:rsidR="005D576A" w:rsidP="005D576A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="00C93598">
              <w:rPr>
                <w:sz w:val="24"/>
                <w:lang w:val="lv-LV"/>
              </w:rPr>
              <w:t>pecifikai.</w:t>
            </w:r>
          </w:p>
          <w:p w:rsidR="00246554" w:rsidP="005D576A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E43F4A" w:rsidP="00E43F4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Dabis</w:t>
            </w:r>
            <w:r w:rsidR="00D12C07">
              <w:rPr>
                <w:sz w:val="24"/>
                <w:lang w:val="lv-LV"/>
              </w:rPr>
              <w:t>kais un mākslīgais apgaismojums.</w:t>
            </w:r>
          </w:p>
          <w:p w:rsidR="00CF27A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E43F4A" w:rsidP="00E43F4A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CF27A6" w:rsidP="00A7576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5D576A" w:rsidRPr="005D576A" w:rsidP="005D576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 xml:space="preserve">Telpu vēdināšana </w:t>
            </w:r>
            <w:r w:rsidR="00C93598">
              <w:rPr>
                <w:sz w:val="24"/>
                <w:lang w:val="lv-LV"/>
              </w:rPr>
              <w:t>dabiskā caur logiem, durvīm un</w:t>
            </w:r>
            <w:r w:rsidR="00080EFB">
              <w:rPr>
                <w:sz w:val="24"/>
                <w:lang w:val="lv-LV"/>
              </w:rPr>
              <w:t xml:space="preserve"> pieplūdes-nosūces ventilācijas sistēma. </w:t>
            </w:r>
          </w:p>
          <w:p w:rsidR="00EB5912" w:rsidRPr="00EB5912" w:rsidP="00EB591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551E39" w:rsidP="00551E39">
            <w:pPr>
              <w:overflowPunct/>
              <w:ind w:firstLine="176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Centralizēta</w:t>
            </w:r>
            <w:r w:rsidR="00524E58">
              <w:rPr>
                <w:sz w:val="24"/>
                <w:lang w:val="lv-LV"/>
              </w:rPr>
              <w:t>.</w:t>
            </w:r>
          </w:p>
          <w:p w:rsidR="002213CB" w:rsidP="00A7576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5D576A" w:rsidRPr="005D576A" w:rsidP="005D576A">
            <w:pPr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Pieslēgums centralizētajiem </w:t>
            </w:r>
            <w:r w:rsidR="00524E58">
              <w:rPr>
                <w:sz w:val="24"/>
                <w:lang w:val="lv-LV"/>
              </w:rPr>
              <w:t xml:space="preserve">kanalizācijas </w:t>
            </w:r>
            <w:r>
              <w:rPr>
                <w:sz w:val="24"/>
                <w:lang w:val="lv-LV"/>
              </w:rPr>
              <w:t xml:space="preserve">tīkliem. </w:t>
            </w:r>
          </w:p>
          <w:p w:rsidR="002213CB" w:rsidRPr="000964F0" w:rsidP="008179C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5D576A" w:rsidP="00E43F4A">
            <w:pPr>
              <w:overflowPunct/>
              <w:autoSpaceDE/>
              <w:autoSpaceDN/>
              <w:adjustRightInd/>
              <w:ind w:right="6"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="00D12C07">
              <w:rPr>
                <w:sz w:val="24"/>
                <w:lang w:val="lv-LV"/>
              </w:rPr>
              <w:t>eritorija ir sakopta un tīra.</w:t>
            </w:r>
          </w:p>
          <w:p w:rsidR="002E3FF9" w:rsidRPr="000964F0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EB5912" w:rsidRPr="00A7176E" w:rsidP="00EB5912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 w:rsidRPr="00DC63C8">
              <w:rPr>
                <w:spacing w:val="-2"/>
                <w:sz w:val="24"/>
                <w:lang w:val="lv-LV"/>
              </w:rPr>
              <w:t>Nometnes darbībā nepiedalīsies dalībnieki ar funkcionālajiem traucējumiem.</w:t>
            </w:r>
          </w:p>
          <w:p w:rsidR="00A7176E" w:rsidRPr="000964F0" w:rsidP="0055580F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524E58">
            <w:pPr>
              <w:tabs>
                <w:tab w:val="left" w:pos="993"/>
              </w:tabs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AB4D7B" w:rsidP="00BF13AA">
            <w:pPr>
              <w:ind w:firstLine="176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Objekts „Bērnu dienas nometnes „AKTĪVISTS JŪRMALA 2022”” Jūras ielā 23/25, Jūrmalā</w:t>
            </w:r>
            <w:r w:rsidRPr="00E032E3">
              <w:rPr>
                <w:sz w:val="24"/>
                <w:lang w:val="lv-LV"/>
              </w:rPr>
              <w:t xml:space="preserve"> 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55580F" w:rsidRPr="00D32BD8" w:rsidP="0055580F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 xml:space="preserve">Ministru kabineta noteikumu Nr. 662 “Epidemioloģiskās drošības pasākumi </w:t>
            </w:r>
            <w:r w:rsidRPr="00F30D9B">
              <w:rPr>
                <w:sz w:val="24"/>
                <w:lang w:val="lv-LV"/>
              </w:rPr>
              <w:t>Covid-19</w:t>
            </w:r>
            <w:r w:rsidRPr="00F30D9B">
              <w:rPr>
                <w:sz w:val="24"/>
                <w:lang w:val="lv-LV"/>
              </w:rPr>
              <w:t xml:space="preserve">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55580F" w:rsidP="0055580F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07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4.2022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55580F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 xml:space="preserve">un darbības kārtība”, kā arī nodrošināt </w:t>
            </w:r>
            <w:r w:rsidRPr="007E5E21">
              <w:rPr>
                <w:sz w:val="24"/>
                <w:lang w:val="lv-LV"/>
              </w:rPr>
              <w:t>pretepidēmiskā</w:t>
            </w:r>
            <w:r w:rsidRPr="007E5E21">
              <w:rPr>
                <w:sz w:val="24"/>
                <w:lang w:val="lv-LV"/>
              </w:rPr>
              <w:t xml:space="preserve">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>
      <w:pPr>
        <w:jc w:val="both"/>
        <w:rPr>
          <w:sz w:val="24"/>
          <w:lang w:val="lv-LV"/>
        </w:rPr>
      </w:pPr>
    </w:p>
    <w:p w:rsidR="002A39F3" w:rsidP="002A39F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735AAB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55580F" w:rsidRPr="005047F5" w:rsidP="00735AAB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55580F" w:rsidRPr="008A3DA7" w:rsidP="00735AAB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:rsidTr="00735AAB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55580F" w:rsidRPr="008A3DA7" w:rsidP="00735AA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55580F" w:rsidRPr="008A3DA7" w:rsidP="00735AAB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55580F" w:rsidRPr="00B715B1" w:rsidP="0055580F">
      <w:pPr>
        <w:jc w:val="both"/>
        <w:rPr>
          <w:sz w:val="24"/>
          <w:lang w:val="lv-LV"/>
        </w:rPr>
      </w:pPr>
    </w:p>
    <w:p w:rsidR="0055580F" w:rsidRPr="00B715B1" w:rsidP="0055580F">
      <w:pPr>
        <w:rPr>
          <w:sz w:val="24"/>
          <w:lang w:val="lv-LV"/>
        </w:rPr>
      </w:pPr>
    </w:p>
    <w:p w:rsidR="0055580F" w:rsidRPr="00B715B1" w:rsidP="0055580F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735AA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55580F" w:rsidRPr="00B05905" w:rsidP="00735AAB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tālr.67081644</w:t>
            </w:r>
          </w:p>
        </w:tc>
      </w:tr>
      <w:tr w:rsidTr="00735AA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55580F" w:rsidRPr="00B05905" w:rsidP="00735AAB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RPr="0055580F" w:rsidP="00D84C4B">
      <w:pPr>
        <w:pStyle w:val="H4"/>
        <w:spacing w:after="0"/>
        <w:jc w:val="left"/>
        <w:outlineLvl w:val="9"/>
        <w:rPr>
          <w:b w:val="0"/>
          <w:sz w:val="24"/>
          <w:lang w:val="en-GB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F46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FF465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FF4658"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>
          <w:pPr>
            <w:rPr>
              <w:sz w:val="24"/>
              <w:u w:val="single"/>
              <w:lang w:val="lv-LV"/>
            </w:rPr>
          </w:pPr>
          <w:r w:rsidRPr="0035491C" w:rsidR="00FF4658">
            <w:rPr>
              <w:bCs/>
              <w:noProof/>
              <w:sz w:val="22"/>
              <w:szCs w:val="22"/>
              <w:u w:val="single"/>
            </w:rPr>
            <w:t>06.06.2022</w:t>
          </w:r>
        </w:p>
        <w:p w:rsidR="002E3FF9" w:rsidP="00C752CC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2.4.5.-8/420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185E48"/>
    <w:rsid w:val="00013731"/>
    <w:rsid w:val="00022614"/>
    <w:rsid w:val="000238DA"/>
    <w:rsid w:val="00035D24"/>
    <w:rsid w:val="00042421"/>
    <w:rsid w:val="00043651"/>
    <w:rsid w:val="00043DA9"/>
    <w:rsid w:val="00044E16"/>
    <w:rsid w:val="00064EB8"/>
    <w:rsid w:val="00080EFB"/>
    <w:rsid w:val="00082050"/>
    <w:rsid w:val="00083D68"/>
    <w:rsid w:val="000964F0"/>
    <w:rsid w:val="0009799A"/>
    <w:rsid w:val="000A19D0"/>
    <w:rsid w:val="000A4BD0"/>
    <w:rsid w:val="000B7FC1"/>
    <w:rsid w:val="000C05D2"/>
    <w:rsid w:val="000D509E"/>
    <w:rsid w:val="00104812"/>
    <w:rsid w:val="00106D19"/>
    <w:rsid w:val="00114A2B"/>
    <w:rsid w:val="00115CB8"/>
    <w:rsid w:val="00120046"/>
    <w:rsid w:val="00121ABA"/>
    <w:rsid w:val="00150618"/>
    <w:rsid w:val="00151696"/>
    <w:rsid w:val="00161456"/>
    <w:rsid w:val="00171E9B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0525"/>
    <w:rsid w:val="001C5CF1"/>
    <w:rsid w:val="001E4D39"/>
    <w:rsid w:val="001F5AE3"/>
    <w:rsid w:val="00206FE1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2ED1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2BF5"/>
    <w:rsid w:val="00327CF0"/>
    <w:rsid w:val="00327CFF"/>
    <w:rsid w:val="0033268D"/>
    <w:rsid w:val="003341DA"/>
    <w:rsid w:val="00335C85"/>
    <w:rsid w:val="0033695B"/>
    <w:rsid w:val="00351B81"/>
    <w:rsid w:val="0035206D"/>
    <w:rsid w:val="0035491C"/>
    <w:rsid w:val="00356E9A"/>
    <w:rsid w:val="00391EE1"/>
    <w:rsid w:val="00392428"/>
    <w:rsid w:val="00392523"/>
    <w:rsid w:val="0039440A"/>
    <w:rsid w:val="003A01C4"/>
    <w:rsid w:val="003A098B"/>
    <w:rsid w:val="003A5FA9"/>
    <w:rsid w:val="003B10E1"/>
    <w:rsid w:val="003B63BF"/>
    <w:rsid w:val="003C0629"/>
    <w:rsid w:val="003C0ABF"/>
    <w:rsid w:val="003C3B7A"/>
    <w:rsid w:val="003E47EF"/>
    <w:rsid w:val="003E6927"/>
    <w:rsid w:val="003F0398"/>
    <w:rsid w:val="003F33B7"/>
    <w:rsid w:val="00402D47"/>
    <w:rsid w:val="00423C51"/>
    <w:rsid w:val="00433866"/>
    <w:rsid w:val="00455013"/>
    <w:rsid w:val="0046092E"/>
    <w:rsid w:val="004610E8"/>
    <w:rsid w:val="00465EA4"/>
    <w:rsid w:val="00471850"/>
    <w:rsid w:val="00472C6E"/>
    <w:rsid w:val="00473233"/>
    <w:rsid w:val="004912DE"/>
    <w:rsid w:val="00494EA2"/>
    <w:rsid w:val="004B1FAC"/>
    <w:rsid w:val="004B7410"/>
    <w:rsid w:val="004C2645"/>
    <w:rsid w:val="004C4FF2"/>
    <w:rsid w:val="004D741A"/>
    <w:rsid w:val="004D76F7"/>
    <w:rsid w:val="004E3A26"/>
    <w:rsid w:val="005045F3"/>
    <w:rsid w:val="005047F5"/>
    <w:rsid w:val="005049C7"/>
    <w:rsid w:val="00524E58"/>
    <w:rsid w:val="00536AEE"/>
    <w:rsid w:val="00537A17"/>
    <w:rsid w:val="005514D8"/>
    <w:rsid w:val="00551E39"/>
    <w:rsid w:val="00552816"/>
    <w:rsid w:val="0055580F"/>
    <w:rsid w:val="00560950"/>
    <w:rsid w:val="00562B75"/>
    <w:rsid w:val="00567F04"/>
    <w:rsid w:val="005827EC"/>
    <w:rsid w:val="00585B96"/>
    <w:rsid w:val="00594DBA"/>
    <w:rsid w:val="005A4699"/>
    <w:rsid w:val="005D576A"/>
    <w:rsid w:val="00603BC3"/>
    <w:rsid w:val="00605D92"/>
    <w:rsid w:val="006205D2"/>
    <w:rsid w:val="00624DF5"/>
    <w:rsid w:val="00627CC4"/>
    <w:rsid w:val="00633DAF"/>
    <w:rsid w:val="00637195"/>
    <w:rsid w:val="00651F47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4E64"/>
    <w:rsid w:val="00735AAB"/>
    <w:rsid w:val="00736B8D"/>
    <w:rsid w:val="00740A13"/>
    <w:rsid w:val="00741693"/>
    <w:rsid w:val="00743E73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D23C6"/>
    <w:rsid w:val="007E5E21"/>
    <w:rsid w:val="007F6E51"/>
    <w:rsid w:val="00802DB2"/>
    <w:rsid w:val="00810FA9"/>
    <w:rsid w:val="008179CE"/>
    <w:rsid w:val="00822BBD"/>
    <w:rsid w:val="008355A6"/>
    <w:rsid w:val="00840480"/>
    <w:rsid w:val="00842E5D"/>
    <w:rsid w:val="008525E4"/>
    <w:rsid w:val="00857D6E"/>
    <w:rsid w:val="00867A87"/>
    <w:rsid w:val="00871C3C"/>
    <w:rsid w:val="00872DDD"/>
    <w:rsid w:val="0089710B"/>
    <w:rsid w:val="008A1242"/>
    <w:rsid w:val="008A3DA7"/>
    <w:rsid w:val="008A6AAF"/>
    <w:rsid w:val="008C06D3"/>
    <w:rsid w:val="008C2529"/>
    <w:rsid w:val="008C37E6"/>
    <w:rsid w:val="008D0063"/>
    <w:rsid w:val="008D1487"/>
    <w:rsid w:val="008D6EB0"/>
    <w:rsid w:val="008E0C54"/>
    <w:rsid w:val="008E3B42"/>
    <w:rsid w:val="00900669"/>
    <w:rsid w:val="00911A26"/>
    <w:rsid w:val="00915CB9"/>
    <w:rsid w:val="009313A7"/>
    <w:rsid w:val="00936531"/>
    <w:rsid w:val="00937908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2EB9"/>
    <w:rsid w:val="009F5F1F"/>
    <w:rsid w:val="00A0044F"/>
    <w:rsid w:val="00A02B48"/>
    <w:rsid w:val="00A10828"/>
    <w:rsid w:val="00A1539A"/>
    <w:rsid w:val="00A26FE5"/>
    <w:rsid w:val="00A3137C"/>
    <w:rsid w:val="00A31F56"/>
    <w:rsid w:val="00A47DD5"/>
    <w:rsid w:val="00A50189"/>
    <w:rsid w:val="00A51A91"/>
    <w:rsid w:val="00A51EC0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D7B"/>
    <w:rsid w:val="00AB4FB4"/>
    <w:rsid w:val="00AB5F35"/>
    <w:rsid w:val="00AD1B34"/>
    <w:rsid w:val="00AD4E4E"/>
    <w:rsid w:val="00AE06D7"/>
    <w:rsid w:val="00AF6968"/>
    <w:rsid w:val="00B05905"/>
    <w:rsid w:val="00B22CEB"/>
    <w:rsid w:val="00B43275"/>
    <w:rsid w:val="00B66279"/>
    <w:rsid w:val="00B715B1"/>
    <w:rsid w:val="00B82621"/>
    <w:rsid w:val="00B8747E"/>
    <w:rsid w:val="00B90CE6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3AA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3598"/>
    <w:rsid w:val="00C96C06"/>
    <w:rsid w:val="00CA2482"/>
    <w:rsid w:val="00CA6198"/>
    <w:rsid w:val="00CA75C7"/>
    <w:rsid w:val="00CA7CFD"/>
    <w:rsid w:val="00CF27A6"/>
    <w:rsid w:val="00D00A94"/>
    <w:rsid w:val="00D03C1D"/>
    <w:rsid w:val="00D12C07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2C66"/>
    <w:rsid w:val="00D65B8D"/>
    <w:rsid w:val="00D7017A"/>
    <w:rsid w:val="00D71A5E"/>
    <w:rsid w:val="00D72ED9"/>
    <w:rsid w:val="00D80E15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7584"/>
    <w:rsid w:val="00E00790"/>
    <w:rsid w:val="00E032E3"/>
    <w:rsid w:val="00E141DE"/>
    <w:rsid w:val="00E17CE0"/>
    <w:rsid w:val="00E34E44"/>
    <w:rsid w:val="00E43F4A"/>
    <w:rsid w:val="00E50C24"/>
    <w:rsid w:val="00E513B3"/>
    <w:rsid w:val="00E53C2B"/>
    <w:rsid w:val="00E62112"/>
    <w:rsid w:val="00E66AC6"/>
    <w:rsid w:val="00E709A6"/>
    <w:rsid w:val="00E76432"/>
    <w:rsid w:val="00E82EDD"/>
    <w:rsid w:val="00E90474"/>
    <w:rsid w:val="00EA22ED"/>
    <w:rsid w:val="00EB5912"/>
    <w:rsid w:val="00EB5F72"/>
    <w:rsid w:val="00EE70C4"/>
    <w:rsid w:val="00EF09E1"/>
    <w:rsid w:val="00F11610"/>
    <w:rsid w:val="00F13A76"/>
    <w:rsid w:val="00F14327"/>
    <w:rsid w:val="00F30519"/>
    <w:rsid w:val="00F30D9B"/>
    <w:rsid w:val="00F43670"/>
    <w:rsid w:val="00F61CB9"/>
    <w:rsid w:val="00F70D34"/>
    <w:rsid w:val="00F76237"/>
    <w:rsid w:val="00F92539"/>
    <w:rsid w:val="00F96A56"/>
    <w:rsid w:val="00FA6CBE"/>
    <w:rsid w:val="00FB1B4B"/>
    <w:rsid w:val="00FB20C5"/>
    <w:rsid w:val="00FB38EE"/>
    <w:rsid w:val="00FB48CC"/>
    <w:rsid w:val="00FD0729"/>
    <w:rsid w:val="00FD26CB"/>
    <w:rsid w:val="00FD4D3A"/>
    <w:rsid w:val="00FD58AC"/>
    <w:rsid w:val="00FF465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uiPriority w:val="20"/>
    <w:qFormat/>
    <w:rsid w:val="0055580F"/>
    <w:rPr>
      <w:i/>
      <w:iCs/>
    </w:rPr>
  </w:style>
  <w:style w:type="character" w:styleId="Strong">
    <w:name w:val="Strong"/>
    <w:basedOn w:val="DefaultParagraphFont"/>
    <w:uiPriority w:val="22"/>
    <w:qFormat/>
    <w:rsid w:val="001C5C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926CD-62EB-4C24-8698-AB7F7836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jelenag</cp:lastModifiedBy>
  <cp:revision>12</cp:revision>
  <cp:lastPrinted>2017-09-20T12:25:00Z</cp:lastPrinted>
  <dcterms:created xsi:type="dcterms:W3CDTF">2022-05-31T07:58:00Z</dcterms:created>
  <dcterms:modified xsi:type="dcterms:W3CDTF">2022-06-06T11:32:00Z</dcterms:modified>
</cp:coreProperties>
</file>