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4BDF85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6BB3332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264D1C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16ED230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10D189A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3F4A79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519A9FE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27.12.2022</w:t>
            </w:r>
          </w:p>
        </w:tc>
      </w:tr>
    </w:tbl>
    <w:p w:rsidR="00BC67F6" w:rsidRPr="008A3DA7" w:rsidP="00BC67F6" w14:paraId="4BCE7425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84DA32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964084" w14:paraId="4A4A87EE" w14:textId="73DDC2E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564A1" w:rsidR="00964084">
              <w:rPr>
                <w:bCs/>
                <w:sz w:val="24"/>
                <w:lang w:val="lv-LV"/>
              </w:rPr>
              <w:t>Bērnu diennakts nometne “</w:t>
            </w:r>
            <w:r w:rsidRPr="00B04AAF" w:rsidR="00964084">
              <w:rPr>
                <w:bCs/>
                <w:sz w:val="24"/>
                <w:lang w:val="lv-LV"/>
              </w:rPr>
              <w:t>OASIS Ziema 2022</w:t>
            </w:r>
            <w:r w:rsidRPr="008564A1" w:rsidR="00964084">
              <w:rPr>
                <w:bCs/>
                <w:sz w:val="24"/>
                <w:lang w:val="lv-LV"/>
              </w:rPr>
              <w:t>”</w:t>
            </w:r>
          </w:p>
        </w:tc>
      </w:tr>
      <w:tr w14:paraId="4FDC865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964084" w14:paraId="45790C60" w14:textId="1324484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64084">
              <w:rPr>
                <w:sz w:val="24"/>
                <w:lang w:val="lv-LV"/>
              </w:rPr>
              <w:t xml:space="preserve">Telpu lietotājs – Biedrība “OASIS Latvija”, reģistrācijas                                  Nr. </w:t>
            </w:r>
            <w:r w:rsidRPr="008564A1" w:rsidR="00964084">
              <w:rPr>
                <w:sz w:val="24"/>
                <w:lang w:val="lv-LV"/>
              </w:rPr>
              <w:t>40008257283</w:t>
            </w:r>
          </w:p>
        </w:tc>
      </w:tr>
      <w:tr w14:paraId="60ED3858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964084" w14:paraId="5A1B35D6" w14:textId="41414C9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564A1" w:rsidR="00964084">
              <w:rPr>
                <w:sz w:val="24"/>
                <w:lang w:val="lv-LV"/>
              </w:rPr>
              <w:t>Upes prospekts 18, Ogre</w:t>
            </w:r>
            <w:r w:rsidR="00964084">
              <w:rPr>
                <w:sz w:val="24"/>
                <w:lang w:val="lv-LV"/>
              </w:rPr>
              <w:t xml:space="preserve">, Ogres novads </w:t>
            </w:r>
          </w:p>
        </w:tc>
      </w:tr>
      <w:tr w14:paraId="57507FB2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964084" w14:paraId="07976D80" w14:textId="76D0656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64084">
              <w:rPr>
                <w:sz w:val="24"/>
                <w:lang w:val="lv-LV"/>
              </w:rPr>
              <w:t>22.12.2022. vides veselības analītiķe Jeļena Gorjačeva</w:t>
            </w:r>
          </w:p>
        </w:tc>
      </w:tr>
      <w:tr w14:paraId="14A9BC47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463FB258" w14:textId="669B77C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64084" w:rsidR="00964084">
              <w:rPr>
                <w:sz w:val="24"/>
                <w:lang w:val="lv-LV"/>
              </w:rPr>
              <w:t xml:space="preserve">Dienesta viesnīcu nodaļas vadītājs Dmitrijs </w:t>
            </w:r>
            <w:r w:rsidRPr="00964084" w:rsidR="00964084">
              <w:rPr>
                <w:sz w:val="24"/>
                <w:lang w:val="lv-LV"/>
              </w:rPr>
              <w:t>Usins</w:t>
            </w:r>
          </w:p>
        </w:tc>
      </w:tr>
      <w:tr w14:paraId="0D968E4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964084" w:rsidP="00D84C4B" w14:paraId="38584B0C" w14:textId="4FD31AA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964084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2E43DD8F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757768" w:rsidP="009B77F4" w14:paraId="331222DE" w14:textId="7777777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8F1476">
              <w:rPr>
                <w:sz w:val="24"/>
                <w:lang w:val="lv-LV"/>
              </w:rPr>
              <w:t xml:space="preserve">Biedrība “OASIS Latvija” </w:t>
            </w:r>
            <w:r>
              <w:rPr>
                <w:sz w:val="24"/>
                <w:lang w:val="lv-LV"/>
              </w:rPr>
              <w:t xml:space="preserve">skolēnu ziemas brīvlaikā </w:t>
            </w:r>
            <w:r w:rsidR="008F1476">
              <w:rPr>
                <w:sz w:val="24"/>
                <w:lang w:val="lv-LV"/>
              </w:rPr>
              <w:t>organizē bērnu diennakts nometni “OASIS Ziema 2022</w:t>
            </w:r>
            <w:r w:rsidR="00264946">
              <w:rPr>
                <w:sz w:val="24"/>
                <w:lang w:val="lv-LV"/>
              </w:rPr>
              <w:t>”</w:t>
            </w:r>
            <w:r w:rsidR="008F1476">
              <w:rPr>
                <w:sz w:val="24"/>
                <w:lang w:val="lv-LV"/>
              </w:rPr>
              <w:t>,</w:t>
            </w:r>
            <w:r w:rsidR="00264946">
              <w:rPr>
                <w:sz w:val="24"/>
                <w:lang w:val="lv-LV"/>
              </w:rPr>
              <w:t xml:space="preserve"> kurā piedalīsies 40 dalībnieki</w:t>
            </w:r>
            <w:r>
              <w:rPr>
                <w:sz w:val="24"/>
                <w:lang w:val="lv-LV"/>
              </w:rPr>
              <w:t xml:space="preserve">, </w:t>
            </w:r>
            <w:r w:rsidR="00264946">
              <w:rPr>
                <w:sz w:val="24"/>
                <w:lang w:val="lv-LV"/>
              </w:rPr>
              <w:t>vecumā no 14 līdz 18 gadiem. Nometne</w:t>
            </w:r>
            <w:r w:rsidR="008F1476">
              <w:rPr>
                <w:sz w:val="24"/>
                <w:lang w:val="lv-LV"/>
              </w:rPr>
              <w:t xml:space="preserve"> sāksies 27.12.2022. un ilgs līdz 01.01.2023</w:t>
            </w:r>
            <w:r>
              <w:rPr>
                <w:sz w:val="24"/>
                <w:lang w:val="lv-LV"/>
              </w:rPr>
              <w:t xml:space="preserve">. </w:t>
            </w:r>
          </w:p>
          <w:p w:rsidR="009B77F4" w:rsidP="00757768" w14:paraId="4C31AFBA" w14:textId="2C35104B">
            <w:pPr>
              <w:overflowPunct/>
              <w:autoSpaceDE/>
              <w:autoSpaceDN/>
              <w:adjustRightInd/>
              <w:ind w:right="6" w:firstLine="200"/>
              <w:jc w:val="both"/>
              <w:textAlignment w:val="auto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Dalībnieku izmitināšana paredzēta Ogres  tehnikuma dienesta viesnīcā, kas atrodas Upes prospektā</w:t>
            </w:r>
            <w:r w:rsidR="00777F7B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18</w:t>
            </w:r>
            <w:r w:rsidR="005D67D0">
              <w:rPr>
                <w:bCs/>
                <w:sz w:val="24"/>
                <w:lang w:val="lv-LV"/>
              </w:rPr>
              <w:t>.</w:t>
            </w:r>
            <w:r w:rsidR="00777F7B">
              <w:rPr>
                <w:bCs/>
                <w:sz w:val="24"/>
                <w:lang w:val="lv-LV"/>
              </w:rPr>
              <w:t xml:space="preserve"> </w:t>
            </w:r>
            <w:r w:rsidR="005D67D0">
              <w:rPr>
                <w:bCs/>
                <w:sz w:val="24"/>
                <w:lang w:val="lv-LV"/>
              </w:rPr>
              <w:t>D</w:t>
            </w:r>
            <w:r w:rsidRPr="005D67D0" w:rsidR="005D67D0">
              <w:rPr>
                <w:bCs/>
                <w:sz w:val="24"/>
                <w:lang w:val="lv-LV"/>
              </w:rPr>
              <w:t xml:space="preserve">ienesta viesnīca ir ēka ar </w:t>
            </w:r>
            <w:r w:rsidR="005D67D0">
              <w:rPr>
                <w:bCs/>
                <w:sz w:val="24"/>
                <w:lang w:val="lv-LV"/>
              </w:rPr>
              <w:t>četriem</w:t>
            </w:r>
            <w:r w:rsidRPr="005D67D0" w:rsidR="005D67D0">
              <w:rPr>
                <w:bCs/>
                <w:sz w:val="24"/>
                <w:lang w:val="lv-LV"/>
              </w:rPr>
              <w:t xml:space="preserve"> stāviem</w:t>
            </w:r>
            <w:r w:rsidR="005D67D0">
              <w:rPr>
                <w:bCs/>
                <w:sz w:val="24"/>
                <w:lang w:val="lv-LV"/>
              </w:rPr>
              <w:t>.</w:t>
            </w:r>
            <w:r w:rsidR="00777F7B">
              <w:rPr>
                <w:bCs/>
                <w:sz w:val="24"/>
                <w:lang w:val="lv-LV"/>
              </w:rPr>
              <w:t xml:space="preserve"> </w:t>
            </w:r>
            <w:r w:rsidRPr="00986FEA" w:rsidR="00986FEA">
              <w:rPr>
                <w:bCs/>
                <w:sz w:val="24"/>
                <w:lang w:val="lv-LV"/>
              </w:rPr>
              <w:t>Katrā</w:t>
            </w:r>
            <w:r w:rsidR="00986FEA">
              <w:rPr>
                <w:bCs/>
                <w:sz w:val="24"/>
                <w:lang w:val="lv-LV"/>
              </w:rPr>
              <w:t xml:space="preserve"> </w:t>
            </w:r>
            <w:r w:rsidR="00617886">
              <w:rPr>
                <w:bCs/>
                <w:sz w:val="24"/>
                <w:lang w:val="lv-LV"/>
              </w:rPr>
              <w:t xml:space="preserve">stāvā ir </w:t>
            </w:r>
            <w:r w:rsidRPr="00617886" w:rsidR="00617886">
              <w:rPr>
                <w:bCs/>
                <w:sz w:val="24"/>
              </w:rPr>
              <w:t> </w:t>
            </w:r>
            <w:r w:rsidR="00617886">
              <w:rPr>
                <w:bCs/>
                <w:sz w:val="24"/>
              </w:rPr>
              <w:t>četr</w:t>
            </w:r>
            <w:r w:rsidRPr="00617886" w:rsidR="00617886">
              <w:rPr>
                <w:bCs/>
                <w:sz w:val="24"/>
              </w:rPr>
              <w:t>vietīgas istabiņas ar viennvietīgajām gultām</w:t>
            </w:r>
            <w:r w:rsidR="00986FEA">
              <w:rPr>
                <w:bCs/>
                <w:sz w:val="24"/>
                <w:lang w:val="lv-LV"/>
              </w:rPr>
              <w:t xml:space="preserve">. </w:t>
            </w:r>
            <w:r w:rsidR="00617886">
              <w:rPr>
                <w:bCs/>
                <w:sz w:val="24"/>
                <w:lang w:val="lv-LV"/>
              </w:rPr>
              <w:t xml:space="preserve">Istabiņās ir drēbju skapis. </w:t>
            </w:r>
            <w:r w:rsidR="000615B4">
              <w:rPr>
                <w:bCs/>
                <w:sz w:val="24"/>
                <w:lang w:val="lv-LV"/>
              </w:rPr>
              <w:t xml:space="preserve">Dienesta </w:t>
            </w:r>
            <w:r w:rsidR="00CA0233">
              <w:rPr>
                <w:bCs/>
                <w:sz w:val="24"/>
                <w:lang w:val="lv-LV"/>
              </w:rPr>
              <w:t xml:space="preserve">viesnīcas </w:t>
            </w:r>
            <w:r w:rsidR="000615B4">
              <w:rPr>
                <w:bCs/>
                <w:sz w:val="24"/>
                <w:lang w:val="lv-LV"/>
              </w:rPr>
              <w:t>personāls</w:t>
            </w:r>
            <w:r w:rsidR="00CA0233">
              <w:rPr>
                <w:bCs/>
                <w:sz w:val="24"/>
                <w:lang w:val="lv-LV"/>
              </w:rPr>
              <w:t xml:space="preserve"> nodrošin</w:t>
            </w:r>
            <w:r>
              <w:rPr>
                <w:bCs/>
                <w:sz w:val="24"/>
                <w:lang w:val="lv-LV"/>
              </w:rPr>
              <w:t>a</w:t>
            </w:r>
            <w:r w:rsidR="0081777E">
              <w:rPr>
                <w:bCs/>
                <w:sz w:val="24"/>
                <w:lang w:val="lv-LV"/>
              </w:rPr>
              <w:t xml:space="preserve"> nometnes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0615B4">
              <w:rPr>
                <w:bCs/>
                <w:sz w:val="24"/>
                <w:lang w:val="lv-LV"/>
              </w:rPr>
              <w:t>dalībniek</w:t>
            </w:r>
            <w:r w:rsidR="009524E1">
              <w:rPr>
                <w:bCs/>
                <w:sz w:val="24"/>
                <w:lang w:val="lv-LV"/>
              </w:rPr>
              <w:t>us</w:t>
            </w:r>
            <w:r w:rsidR="00CA0233">
              <w:rPr>
                <w:bCs/>
                <w:sz w:val="24"/>
                <w:lang w:val="lv-LV"/>
              </w:rPr>
              <w:t xml:space="preserve"> ar tīriem gultas piederumiem </w:t>
            </w:r>
            <w:r w:rsidR="000615B4">
              <w:rPr>
                <w:bCs/>
                <w:sz w:val="24"/>
                <w:lang w:val="lv-LV"/>
              </w:rPr>
              <w:t xml:space="preserve">(spilveni, segas, matrači) </w:t>
            </w:r>
            <w:r w:rsidR="00CA0233">
              <w:rPr>
                <w:bCs/>
                <w:sz w:val="24"/>
                <w:lang w:val="lv-LV"/>
              </w:rPr>
              <w:t xml:space="preserve">un gultas veļu. </w:t>
            </w:r>
            <w:r w:rsidR="00777F7B">
              <w:rPr>
                <w:bCs/>
                <w:sz w:val="24"/>
                <w:lang w:val="lv-LV"/>
              </w:rPr>
              <w:t xml:space="preserve"> Nometnes vajadzībām p</w:t>
            </w:r>
            <w:r w:rsidR="00986FEA">
              <w:rPr>
                <w:bCs/>
                <w:sz w:val="24"/>
                <w:lang w:val="lv-LV"/>
              </w:rPr>
              <w:t xml:space="preserve">lānots izmantot istabiņas, kas atrodas ēkas 2. un 3.stāvā. </w:t>
            </w:r>
            <w:r w:rsidRPr="00986FEA" w:rsidR="00986FEA">
              <w:rPr>
                <w:bCs/>
                <w:sz w:val="24"/>
                <w:lang w:val="lv-LV"/>
              </w:rPr>
              <w:t>Brīvā laika pavadīšanai ir iekārtotas atpūtas telpas.</w:t>
            </w:r>
            <w:r w:rsidR="00777F7B">
              <w:rPr>
                <w:bCs/>
                <w:sz w:val="24"/>
                <w:lang w:val="lv-LV"/>
              </w:rPr>
              <w:t xml:space="preserve"> </w:t>
            </w:r>
            <w:r w:rsidR="00986FEA">
              <w:rPr>
                <w:bCs/>
                <w:sz w:val="24"/>
                <w:lang w:val="lv-LV"/>
              </w:rPr>
              <w:t>Dienesta viesnīcā ir pieejamas koplietošanas t</w:t>
            </w:r>
            <w:r w:rsidRPr="00986FEA" w:rsidR="00986FEA">
              <w:rPr>
                <w:bCs/>
                <w:sz w:val="24"/>
                <w:lang w:val="lv-LV"/>
              </w:rPr>
              <w:t>ualetes un dušas</w:t>
            </w:r>
            <w:r w:rsidR="00986FEA">
              <w:rPr>
                <w:bCs/>
                <w:sz w:val="24"/>
                <w:lang w:val="lv-LV"/>
              </w:rPr>
              <w:t xml:space="preserve">. </w:t>
            </w:r>
            <w:r w:rsidRPr="00962D1E">
              <w:rPr>
                <w:bCs/>
                <w:sz w:val="24"/>
                <w:lang w:val="lv-LV"/>
              </w:rPr>
              <w:t>Katram dalībniekam ir nodrošināta sava guļamvieta. Telpu higiēniskais stāvoklis ir apmierinošs.</w:t>
            </w:r>
            <w:r>
              <w:rPr>
                <w:bCs/>
                <w:sz w:val="24"/>
                <w:lang w:val="lv-LV"/>
              </w:rPr>
              <w:t xml:space="preserve"> Sanitārās ierīces atrodas darba kārtībā.</w:t>
            </w:r>
            <w:r w:rsidR="005D67D0">
              <w:t xml:space="preserve"> </w:t>
            </w:r>
            <w:r w:rsidRPr="005D67D0" w:rsidR="005D67D0">
              <w:rPr>
                <w:bCs/>
                <w:sz w:val="24"/>
                <w:lang w:val="lv-LV"/>
              </w:rPr>
              <w:t>Viesnīcas</w:t>
            </w:r>
            <w:r w:rsidR="005D67D0">
              <w:rPr>
                <w:bCs/>
                <w:sz w:val="24"/>
                <w:lang w:val="lv-LV"/>
              </w:rPr>
              <w:t xml:space="preserve"> </w:t>
            </w:r>
            <w:r w:rsidRPr="005D67D0" w:rsidR="005D67D0">
              <w:rPr>
                <w:bCs/>
                <w:sz w:val="24"/>
                <w:lang w:val="lv-LV"/>
              </w:rPr>
              <w:t>telpās ir vieta īslaicīgai dalībnieka izolācijai infekcijas slimību gadījumos, līdz ierodas</w:t>
            </w:r>
            <w:r w:rsidR="005D67D0">
              <w:rPr>
                <w:bCs/>
                <w:sz w:val="24"/>
                <w:lang w:val="lv-LV"/>
              </w:rPr>
              <w:t xml:space="preserve"> </w:t>
            </w:r>
            <w:r w:rsidRPr="005D67D0" w:rsidR="005D67D0">
              <w:rPr>
                <w:bCs/>
                <w:sz w:val="24"/>
                <w:lang w:val="lv-LV"/>
              </w:rPr>
              <w:t>likumiskie pārstāvji vai neatliekamas medicīniskas palīdzības dienesta pārstāvj</w:t>
            </w:r>
            <w:r w:rsidR="00986FEA">
              <w:rPr>
                <w:bCs/>
                <w:sz w:val="24"/>
                <w:lang w:val="lv-LV"/>
              </w:rPr>
              <w:t xml:space="preserve">i. </w:t>
            </w:r>
          </w:p>
          <w:p w:rsidR="009B77F4" w:rsidRPr="00CD467A" w:rsidP="009B77F4" w14:paraId="5CD837F3" w14:textId="19643EB5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Nometnes vadītāja – </w:t>
            </w:r>
            <w:r w:rsidRPr="009B77F4">
              <w:rPr>
                <w:bCs/>
                <w:sz w:val="24"/>
                <w:lang w:val="lv-LV"/>
              </w:rPr>
              <w:t>Kristīne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9B77F4">
              <w:rPr>
                <w:bCs/>
                <w:sz w:val="24"/>
                <w:lang w:val="lv-LV"/>
              </w:rPr>
              <w:t>Jevsejeva</w:t>
            </w:r>
            <w:r w:rsidR="00212FE8">
              <w:rPr>
                <w:bCs/>
                <w:sz w:val="24"/>
                <w:lang w:val="lv-LV"/>
              </w:rPr>
              <w:t xml:space="preserve">, nometņu </w:t>
            </w:r>
            <w:r w:rsidRPr="00032FDE" w:rsidR="00212FE8">
              <w:rPr>
                <w:spacing w:val="-2"/>
                <w:sz w:val="24"/>
                <w:lang w:val="lv-LV"/>
              </w:rPr>
              <w:t xml:space="preserve">vadītāja apliecības </w:t>
            </w:r>
            <w:r w:rsidR="00212FE8">
              <w:rPr>
                <w:spacing w:val="-2"/>
                <w:sz w:val="24"/>
                <w:lang w:val="lv-LV"/>
              </w:rPr>
              <w:t xml:space="preserve">Nr. </w:t>
            </w:r>
            <w:r w:rsidRPr="00032FDE" w:rsidR="00212FE8">
              <w:rPr>
                <w:spacing w:val="-2"/>
                <w:sz w:val="24"/>
                <w:lang w:val="lv-LV"/>
              </w:rPr>
              <w:t>025-00031</w:t>
            </w:r>
            <w:r w:rsidR="00212FE8">
              <w:rPr>
                <w:spacing w:val="-2"/>
                <w:sz w:val="24"/>
                <w:lang w:val="lv-LV"/>
              </w:rPr>
              <w:t>.</w:t>
            </w:r>
          </w:p>
          <w:p w:rsidR="00246554" w:rsidRPr="00246554" w:rsidP="00D437BF" w14:paraId="453198FD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341DA" w14:paraId="1AC70292" w14:textId="327A3F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964084">
              <w:rPr>
                <w:sz w:val="24"/>
                <w:lang w:val="lv-LV"/>
              </w:rPr>
              <w:t xml:space="preserve">Telpu higiēniskais stāvoklis ir apmierinošs. </w:t>
            </w:r>
            <w:r w:rsidR="006B4FF7">
              <w:rPr>
                <w:sz w:val="24"/>
                <w:lang w:val="lv-LV"/>
              </w:rPr>
              <w:t xml:space="preserve">Sanitārajos mezglos – flīžu apdare. </w:t>
            </w:r>
          </w:p>
          <w:p w:rsidR="00246554" w:rsidP="00D437BF" w14:paraId="5FBA5A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964084" w:rsidP="00964084" w14:paraId="0B349AAD" w14:textId="23B7738F">
            <w:pPr>
              <w:overflowPunct/>
              <w:autoSpaceDE/>
              <w:adjustRightInd/>
              <w:ind w:right="6" w:firstLine="200"/>
              <w:rPr>
                <w:bCs/>
                <w:sz w:val="24"/>
                <w:lang w:val="lv-LV"/>
              </w:rPr>
            </w:pPr>
            <w:r w:rsidRPr="00964084">
              <w:rPr>
                <w:bCs/>
                <w:sz w:val="24"/>
                <w:lang w:val="lv-LV"/>
              </w:rPr>
              <w:t xml:space="preserve">Dabiskais un mākslīgais. </w:t>
            </w:r>
          </w:p>
          <w:p w:rsidR="00CF27A6" w:rsidP="00D437BF" w14:paraId="7C1EA8C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964084" w:rsidP="00964084" w14:paraId="3F3EA507" w14:textId="20AA6EEC">
            <w:pPr>
              <w:overflowPunct/>
              <w:autoSpaceDE/>
              <w:adjustRightInd/>
              <w:ind w:right="6" w:firstLine="200"/>
              <w:rPr>
                <w:spacing w:val="-2"/>
                <w:sz w:val="24"/>
                <w:lang w:val="lv-LV"/>
              </w:rPr>
            </w:pPr>
            <w:r w:rsidRPr="00964084">
              <w:rPr>
                <w:spacing w:val="-2"/>
                <w:sz w:val="24"/>
                <w:lang w:val="lv-LV"/>
              </w:rPr>
              <w:t xml:space="preserve">Centralizētā. </w:t>
            </w:r>
          </w:p>
          <w:p w:rsidR="00CF27A6" w:rsidP="00A7576E" w14:paraId="614DCE6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964084" w:rsidP="00964084" w14:paraId="00F3ABCC" w14:textId="0E687ADD">
            <w:pPr>
              <w:overflowPunct/>
              <w:autoSpaceDE/>
              <w:adjustRightInd/>
              <w:ind w:right="6" w:firstLine="200"/>
              <w:rPr>
                <w:bCs/>
                <w:sz w:val="24"/>
                <w:lang w:val="lv-LV"/>
              </w:rPr>
            </w:pPr>
            <w:r w:rsidRPr="00964084">
              <w:rPr>
                <w:bCs/>
                <w:sz w:val="24"/>
                <w:lang w:val="lv-LV"/>
              </w:rPr>
              <w:t xml:space="preserve">Dabiskā </w:t>
            </w:r>
            <w:r w:rsidR="008F1476">
              <w:rPr>
                <w:bCs/>
                <w:sz w:val="24"/>
                <w:lang w:val="lv-LV"/>
              </w:rPr>
              <w:t xml:space="preserve">un piespiedu nosūces ventilācija. </w:t>
            </w:r>
          </w:p>
          <w:p w:rsidR="002213CB" w:rsidRPr="000964F0" w:rsidP="00D437BF" w14:paraId="1F125FF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8F1476" w:rsidP="008F1476" w14:paraId="1EF76830" w14:textId="14D1DA3F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Pieslēgums centralizētajiem</w:t>
            </w:r>
            <w:r w:rsidR="005826D2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tīkliem. </w:t>
            </w:r>
            <w:r w:rsidRPr="00377AEF">
              <w:rPr>
                <w:iCs/>
                <w:sz w:val="24"/>
                <w:lang w:val="lv-LV"/>
              </w:rPr>
              <w:t>Visām sanitārajām ierīcēm nodrošināts aukstais un karstais ūdens.</w:t>
            </w:r>
          </w:p>
          <w:p w:rsidR="002213CB" w:rsidRPr="000964F0" w:rsidP="00A7576E" w14:paraId="1464AAEE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341DA" w14:paraId="74FE321B" w14:textId="51AE5DA1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8F1476">
              <w:rPr>
                <w:sz w:val="24"/>
                <w:lang w:val="lv-LV"/>
              </w:rPr>
              <w:t xml:space="preserve">Pieslēgums centralizētajiem kanalizācijas tīkliem. </w:t>
            </w:r>
          </w:p>
          <w:p w:rsidR="002213CB" w:rsidRPr="000964F0" w:rsidP="008179CE" w14:paraId="56D51C7F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48B31EE9" w14:textId="3012A806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8F1476">
              <w:rPr>
                <w:sz w:val="24"/>
                <w:lang w:val="lv-LV"/>
              </w:rPr>
              <w:t xml:space="preserve">Teritorija ir labiekārtota. </w:t>
            </w:r>
          </w:p>
          <w:p w:rsidR="002E3FF9" w:rsidRPr="000964F0" w:rsidP="00D437BF" w14:paraId="1AB5A44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8F1476" w14:paraId="456B9374" w14:textId="7C3D7F3D">
            <w:pPr>
              <w:overflowPunct/>
              <w:autoSpaceDE/>
              <w:adjustRightInd/>
              <w:ind w:left="200" w:right="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4B049F4F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CD467A" w14:paraId="0B606F32" w14:textId="7544106B">
            <w:pPr>
              <w:tabs>
                <w:tab w:val="left" w:pos="993"/>
              </w:tabs>
              <w:ind w:firstLine="20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Nav.</w:t>
            </w:r>
          </w:p>
        </w:tc>
      </w:tr>
      <w:tr w14:paraId="65211B3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63DE2891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964084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CD467A" w:rsidP="00CD467A" w14:paraId="5E5E5CF5" w14:textId="2E965620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Pr="000E5B40" w:rsidR="00CD467A">
              <w:rPr>
                <w:iCs/>
                <w:sz w:val="24"/>
                <w:lang w:val="lv-LV"/>
              </w:rPr>
              <w:t>Objekts “</w:t>
            </w:r>
            <w:r w:rsidRPr="008564A1" w:rsidR="00CD467A">
              <w:rPr>
                <w:bCs/>
                <w:sz w:val="24"/>
                <w:lang w:val="lv-LV"/>
              </w:rPr>
              <w:t>Bērnu diennakts nometne “</w:t>
            </w:r>
            <w:r w:rsidRPr="00B04AAF" w:rsidR="00CD467A">
              <w:rPr>
                <w:bCs/>
                <w:sz w:val="24"/>
                <w:lang w:val="lv-LV"/>
              </w:rPr>
              <w:t>OASIS Ziema 2022</w:t>
            </w:r>
            <w:r w:rsidRPr="008564A1" w:rsidR="00CD467A">
              <w:rPr>
                <w:bCs/>
                <w:sz w:val="24"/>
                <w:lang w:val="lv-LV"/>
              </w:rPr>
              <w:t>”</w:t>
            </w:r>
            <w:r w:rsidR="00CD467A">
              <w:rPr>
                <w:bCs/>
                <w:sz w:val="24"/>
                <w:lang w:val="lv-LV"/>
              </w:rPr>
              <w:t xml:space="preserve"> </w:t>
            </w:r>
            <w:r w:rsidRPr="008564A1" w:rsidR="00CD467A">
              <w:rPr>
                <w:sz w:val="24"/>
                <w:lang w:val="lv-LV"/>
              </w:rPr>
              <w:t>Upes prospekt</w:t>
            </w:r>
            <w:r w:rsidR="00CD467A">
              <w:rPr>
                <w:sz w:val="24"/>
                <w:lang w:val="lv-LV"/>
              </w:rPr>
              <w:t>ā</w:t>
            </w:r>
            <w:r w:rsidRPr="008564A1" w:rsidR="00CD467A">
              <w:rPr>
                <w:sz w:val="24"/>
                <w:lang w:val="lv-LV"/>
              </w:rPr>
              <w:t xml:space="preserve"> 18, Ogr</w:t>
            </w:r>
            <w:r w:rsidR="00CD467A">
              <w:rPr>
                <w:sz w:val="24"/>
                <w:lang w:val="lv-LV"/>
              </w:rPr>
              <w:t>ē, Ogres novadā</w:t>
            </w:r>
            <w:r w:rsidR="00CD467A">
              <w:rPr>
                <w:bCs/>
                <w:sz w:val="24"/>
                <w:lang w:val="lv-LV"/>
              </w:rPr>
              <w:t xml:space="preserve"> </w:t>
            </w:r>
            <w:r w:rsidRPr="000E5B40" w:rsidR="00CD467A">
              <w:rPr>
                <w:iCs/>
                <w:sz w:val="24"/>
                <w:lang w:val="lv-LV"/>
              </w:rPr>
              <w:t>atbilst higiēnas prasībām</w:t>
            </w:r>
            <w:r w:rsidR="00CD467A">
              <w:rPr>
                <w:iCs/>
                <w:sz w:val="24"/>
                <w:lang w:val="lv-LV"/>
              </w:rPr>
              <w:t>.</w:t>
            </w:r>
          </w:p>
        </w:tc>
      </w:tr>
      <w:tr w14:paraId="531DCDF0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421CE7C4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CD467A" w:rsidRPr="00D32BD8" w:rsidP="00CD467A" w14:paraId="753A7CED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CD467A" w:rsidP="00CD467A" w14:paraId="5FD79432" w14:textId="3806CC82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 w:rsidR="008901AB">
              <w:rPr>
                <w:sz w:val="24"/>
                <w:lang w:val="lv-LV"/>
              </w:rPr>
              <w:t>;</w:t>
            </w:r>
          </w:p>
          <w:p w:rsidR="002F4108" w:rsidRPr="00402D47" w:rsidP="00CD467A" w14:paraId="69F4102F" w14:textId="6C5D24FE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>un darbības kārtība”, kā arī nodrošināt pretepidēmiskā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 w14:paraId="39725B7C" w14:textId="77777777">
      <w:pPr>
        <w:jc w:val="both"/>
        <w:rPr>
          <w:sz w:val="24"/>
          <w:lang w:val="lv-LV"/>
        </w:rPr>
      </w:pPr>
    </w:p>
    <w:p w:rsidR="00CD467A" w:rsidP="00CD467A" w14:paraId="67B5A867" w14:textId="77777777">
      <w:pPr>
        <w:jc w:val="both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7655"/>
        <w:gridCol w:w="1702"/>
      </w:tblGrid>
      <w:tr w14:paraId="36D71A8F" w14:textId="77777777" w:rsidTr="00344855">
        <w:tblPrEx>
          <w:tblW w:w="9357" w:type="dxa"/>
          <w:tblInd w:w="108" w:type="dxa"/>
          <w:tblLayout w:type="fixed"/>
          <w:tblLook w:val="04A0"/>
        </w:tblPrEx>
        <w:tc>
          <w:tcPr>
            <w:tcW w:w="7655" w:type="dxa"/>
            <w:vAlign w:val="bottom"/>
          </w:tcPr>
          <w:p w:rsidR="00CD467A" w:rsidRPr="005047F5" w:rsidP="00344855" w14:paraId="3F0A75AC" w14:textId="77777777">
            <w:pPr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</w:t>
            </w:r>
            <w:r w:rsidRPr="00B715B1">
              <w:rPr>
                <w:sz w:val="24"/>
                <w:lang w:val="lv-LV"/>
              </w:rPr>
              <w:t xml:space="preserve">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CD467A" w:rsidRPr="008A3DA7" w:rsidP="00344855" w14:paraId="0F5123CD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3C94ABB6" w14:textId="77777777" w:rsidTr="00344855">
        <w:tblPrEx>
          <w:tblW w:w="9357" w:type="dxa"/>
          <w:tblInd w:w="108" w:type="dxa"/>
          <w:tblLayout w:type="fixed"/>
          <w:tblLook w:val="04A0"/>
        </w:tblPrEx>
        <w:tc>
          <w:tcPr>
            <w:tcW w:w="7655" w:type="dxa"/>
            <w:vAlign w:val="bottom"/>
          </w:tcPr>
          <w:p w:rsidR="00CD467A" w:rsidRPr="008A3DA7" w:rsidP="00344855" w14:paraId="7522A46E" w14:textId="06E48A29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CD467A" w:rsidRPr="008A3DA7" w:rsidP="00344855" w14:paraId="4D0B10E9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CD467A" w:rsidRPr="00B715B1" w:rsidP="00CD467A" w14:paraId="2E8C42A1" w14:textId="77777777">
      <w:pPr>
        <w:jc w:val="both"/>
        <w:rPr>
          <w:sz w:val="24"/>
          <w:lang w:val="lv-LV"/>
        </w:rPr>
      </w:pPr>
    </w:p>
    <w:p w:rsidR="00CD467A" w:rsidRPr="00B715B1" w:rsidP="00CD467A" w14:paraId="55E4E856" w14:textId="77777777">
      <w:pPr>
        <w:rPr>
          <w:sz w:val="24"/>
          <w:lang w:val="lv-LV"/>
        </w:rPr>
      </w:pPr>
    </w:p>
    <w:p w:rsidR="00CD467A" w:rsidRPr="00B715B1" w:rsidP="00CD467A" w14:paraId="49B220E1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241180CD" w14:textId="77777777" w:rsidTr="00344855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CD467A" w:rsidRPr="00B05905" w:rsidP="00344855" w14:paraId="51A43852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2AEE05BE" w14:textId="77777777" w:rsidTr="00344855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CD467A" w:rsidP="00344855" w14:paraId="0DABB67F" w14:textId="6EDC1EDD">
            <w:pPr>
              <w:ind w:hanging="68"/>
              <w:rPr>
                <w:sz w:val="24"/>
                <w:lang w:val="lv-LV"/>
              </w:rPr>
            </w:pPr>
            <w:r w:rsidRPr="00356C0D">
              <w:rPr>
                <w:sz w:val="24"/>
                <w:lang w:val="lv-LV"/>
              </w:rPr>
              <w:t>jelena.gorjaceva@vi.gov.lv</w:t>
            </w:r>
          </w:p>
          <w:p w:rsidR="00356C0D" w:rsidRPr="00B05905" w:rsidP="00344855" w14:paraId="4E86F83C" w14:textId="00B728FA">
            <w:pPr>
              <w:ind w:hanging="68"/>
              <w:rPr>
                <w:sz w:val="24"/>
                <w:lang w:val="lv-LV"/>
              </w:rPr>
            </w:pPr>
          </w:p>
        </w:tc>
      </w:tr>
      <w:bookmarkEnd w:id="0"/>
    </w:tbl>
    <w:p w:rsidR="00FB48CC" w:rsidP="00D84C4B" w14:paraId="6584ECDC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5A5EE59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059A15FE" w14:textId="77777777">
    <w:pPr>
      <w:pStyle w:val="Footer"/>
      <w:rPr>
        <w:sz w:val="20"/>
        <w:lang w:val="lv-LV"/>
      </w:rPr>
    </w:pPr>
  </w:p>
  <w:p w:rsidR="002E3FF9" w:rsidRPr="00E53C2B" w:rsidP="00E53C2B" w14:paraId="034A5FBC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582C88F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3F8E8501" w14:textId="77777777">
    <w:pPr>
      <w:pStyle w:val="Footer"/>
      <w:rPr>
        <w:sz w:val="20"/>
        <w:lang w:val="lv-LV"/>
      </w:rPr>
    </w:pPr>
  </w:p>
  <w:p w:rsidR="002E3FF9" w:rsidRPr="00022614" w14:paraId="5991501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CE132F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66DC3A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5961F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5E0F384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5A750CC7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6671B0F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329E4CC5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7DF3EA0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1165B476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27.12.2022</w:t>
          </w:r>
        </w:p>
        <w:p w:rsidR="002E3FF9" w:rsidP="00C752CC" w14:paraId="05C8C30D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EF755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2.4.5.-8/1182</w:t>
          </w:r>
        </w:p>
      </w:tc>
    </w:tr>
  </w:tbl>
  <w:p w:rsidR="002E3FF9" w:rsidRPr="00783D52" w:rsidP="00633DAF" w14:paraId="5778126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3466B74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63932CE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202DDC7B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2FDE"/>
    <w:rsid w:val="00035D24"/>
    <w:rsid w:val="00042421"/>
    <w:rsid w:val="00043DA9"/>
    <w:rsid w:val="00044E16"/>
    <w:rsid w:val="000615B4"/>
    <w:rsid w:val="00064EB8"/>
    <w:rsid w:val="00082050"/>
    <w:rsid w:val="00083D68"/>
    <w:rsid w:val="000964F0"/>
    <w:rsid w:val="0009799A"/>
    <w:rsid w:val="000A19D0"/>
    <w:rsid w:val="000A4BD0"/>
    <w:rsid w:val="000C05D2"/>
    <w:rsid w:val="000D077A"/>
    <w:rsid w:val="000D509E"/>
    <w:rsid w:val="000E5B40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12FE8"/>
    <w:rsid w:val="00215CB6"/>
    <w:rsid w:val="002213CB"/>
    <w:rsid w:val="00222294"/>
    <w:rsid w:val="00233FF6"/>
    <w:rsid w:val="00240007"/>
    <w:rsid w:val="00246554"/>
    <w:rsid w:val="0025403B"/>
    <w:rsid w:val="00257113"/>
    <w:rsid w:val="00262D25"/>
    <w:rsid w:val="00264946"/>
    <w:rsid w:val="00280160"/>
    <w:rsid w:val="00285D97"/>
    <w:rsid w:val="0028640B"/>
    <w:rsid w:val="00293118"/>
    <w:rsid w:val="0029369A"/>
    <w:rsid w:val="002962A8"/>
    <w:rsid w:val="002A349B"/>
    <w:rsid w:val="002A39F3"/>
    <w:rsid w:val="002C337B"/>
    <w:rsid w:val="002C774F"/>
    <w:rsid w:val="002D2040"/>
    <w:rsid w:val="002D4109"/>
    <w:rsid w:val="002D4858"/>
    <w:rsid w:val="002D5ACD"/>
    <w:rsid w:val="002E10C2"/>
    <w:rsid w:val="002E3FF9"/>
    <w:rsid w:val="002E502A"/>
    <w:rsid w:val="002F1A3D"/>
    <w:rsid w:val="002F31D0"/>
    <w:rsid w:val="002F4108"/>
    <w:rsid w:val="002F432F"/>
    <w:rsid w:val="00304183"/>
    <w:rsid w:val="003059B5"/>
    <w:rsid w:val="00321435"/>
    <w:rsid w:val="00327CF0"/>
    <w:rsid w:val="0033268D"/>
    <w:rsid w:val="003341DA"/>
    <w:rsid w:val="00335C85"/>
    <w:rsid w:val="0033695B"/>
    <w:rsid w:val="00344855"/>
    <w:rsid w:val="00351B81"/>
    <w:rsid w:val="0035206D"/>
    <w:rsid w:val="0035491C"/>
    <w:rsid w:val="00356C0D"/>
    <w:rsid w:val="00356E9A"/>
    <w:rsid w:val="00377AEF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7F5"/>
    <w:rsid w:val="005049C7"/>
    <w:rsid w:val="005478BA"/>
    <w:rsid w:val="005514D8"/>
    <w:rsid w:val="00552816"/>
    <w:rsid w:val="00560950"/>
    <w:rsid w:val="00562B75"/>
    <w:rsid w:val="00567F04"/>
    <w:rsid w:val="005826D2"/>
    <w:rsid w:val="005827EC"/>
    <w:rsid w:val="00585B96"/>
    <w:rsid w:val="00594DBA"/>
    <w:rsid w:val="005A4699"/>
    <w:rsid w:val="005D67D0"/>
    <w:rsid w:val="00603BC3"/>
    <w:rsid w:val="00605D92"/>
    <w:rsid w:val="00617886"/>
    <w:rsid w:val="006205D2"/>
    <w:rsid w:val="00624DF5"/>
    <w:rsid w:val="00627CC4"/>
    <w:rsid w:val="00633DAF"/>
    <w:rsid w:val="00637195"/>
    <w:rsid w:val="00652EBB"/>
    <w:rsid w:val="0068137B"/>
    <w:rsid w:val="006834AF"/>
    <w:rsid w:val="006B4FF7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25B52"/>
    <w:rsid w:val="00736B8D"/>
    <w:rsid w:val="007472DF"/>
    <w:rsid w:val="00750DB1"/>
    <w:rsid w:val="00757768"/>
    <w:rsid w:val="00761EB0"/>
    <w:rsid w:val="00777591"/>
    <w:rsid w:val="00777F7B"/>
    <w:rsid w:val="00783D52"/>
    <w:rsid w:val="007931D4"/>
    <w:rsid w:val="007952D0"/>
    <w:rsid w:val="0079632A"/>
    <w:rsid w:val="007A5202"/>
    <w:rsid w:val="007B147E"/>
    <w:rsid w:val="007C262C"/>
    <w:rsid w:val="007E5E21"/>
    <w:rsid w:val="00810FA9"/>
    <w:rsid w:val="008122A4"/>
    <w:rsid w:val="0081777E"/>
    <w:rsid w:val="008179CE"/>
    <w:rsid w:val="00822BBD"/>
    <w:rsid w:val="008355A6"/>
    <w:rsid w:val="0083745B"/>
    <w:rsid w:val="00840480"/>
    <w:rsid w:val="00841370"/>
    <w:rsid w:val="00842E5D"/>
    <w:rsid w:val="008525E4"/>
    <w:rsid w:val="008564A1"/>
    <w:rsid w:val="00857D6E"/>
    <w:rsid w:val="00872DDD"/>
    <w:rsid w:val="008901AB"/>
    <w:rsid w:val="0089710B"/>
    <w:rsid w:val="008A1242"/>
    <w:rsid w:val="008A3DA7"/>
    <w:rsid w:val="008A6AAF"/>
    <w:rsid w:val="008B5E6A"/>
    <w:rsid w:val="008C06D3"/>
    <w:rsid w:val="008C37E6"/>
    <w:rsid w:val="008D0063"/>
    <w:rsid w:val="008D1487"/>
    <w:rsid w:val="008E0C54"/>
    <w:rsid w:val="008E3B42"/>
    <w:rsid w:val="008F1476"/>
    <w:rsid w:val="00900669"/>
    <w:rsid w:val="00911A26"/>
    <w:rsid w:val="009313A7"/>
    <w:rsid w:val="009428A9"/>
    <w:rsid w:val="009502DD"/>
    <w:rsid w:val="009524E1"/>
    <w:rsid w:val="009560BB"/>
    <w:rsid w:val="009561DA"/>
    <w:rsid w:val="00962D1E"/>
    <w:rsid w:val="00964084"/>
    <w:rsid w:val="00970D38"/>
    <w:rsid w:val="00974617"/>
    <w:rsid w:val="00977146"/>
    <w:rsid w:val="00983C0F"/>
    <w:rsid w:val="00986FEA"/>
    <w:rsid w:val="00987D1B"/>
    <w:rsid w:val="009B4BCA"/>
    <w:rsid w:val="009B4FCF"/>
    <w:rsid w:val="009B58B6"/>
    <w:rsid w:val="009B77F4"/>
    <w:rsid w:val="009C7C74"/>
    <w:rsid w:val="009D2BEB"/>
    <w:rsid w:val="009E48B9"/>
    <w:rsid w:val="009E5EB3"/>
    <w:rsid w:val="009E625D"/>
    <w:rsid w:val="009F5F1F"/>
    <w:rsid w:val="00A0044F"/>
    <w:rsid w:val="00A02B48"/>
    <w:rsid w:val="00A10828"/>
    <w:rsid w:val="00A1539A"/>
    <w:rsid w:val="00A25EB9"/>
    <w:rsid w:val="00A26FE5"/>
    <w:rsid w:val="00A31F56"/>
    <w:rsid w:val="00A365DD"/>
    <w:rsid w:val="00A47DD5"/>
    <w:rsid w:val="00A50189"/>
    <w:rsid w:val="00A51A91"/>
    <w:rsid w:val="00A54A76"/>
    <w:rsid w:val="00A7176E"/>
    <w:rsid w:val="00A71A45"/>
    <w:rsid w:val="00A721F2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04AAF"/>
    <w:rsid w:val="00B05905"/>
    <w:rsid w:val="00B22CEB"/>
    <w:rsid w:val="00B43275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033BB"/>
    <w:rsid w:val="00C108EE"/>
    <w:rsid w:val="00C16FED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0233"/>
    <w:rsid w:val="00CA2482"/>
    <w:rsid w:val="00CA6198"/>
    <w:rsid w:val="00CA75C7"/>
    <w:rsid w:val="00CA7CFD"/>
    <w:rsid w:val="00CD467A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7C9A"/>
    <w:rsid w:val="00DF208A"/>
    <w:rsid w:val="00DF7584"/>
    <w:rsid w:val="00E00790"/>
    <w:rsid w:val="00E15C3B"/>
    <w:rsid w:val="00E17CE0"/>
    <w:rsid w:val="00E50C24"/>
    <w:rsid w:val="00E513B3"/>
    <w:rsid w:val="00E53C2B"/>
    <w:rsid w:val="00E550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30519"/>
    <w:rsid w:val="00F30D9B"/>
    <w:rsid w:val="00F43670"/>
    <w:rsid w:val="00F609C4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E445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DBA90C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356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3</cp:revision>
  <cp:lastPrinted>2017-09-20T12:25:00Z</cp:lastPrinted>
  <dcterms:created xsi:type="dcterms:W3CDTF">2022-12-27T06:34:00Z</dcterms:created>
  <dcterms:modified xsi:type="dcterms:W3CDTF">2022-12-27T06:34:00Z</dcterms:modified>
</cp:coreProperties>
</file>