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91F9A7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423B6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4B4639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3C758D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75E471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84B443D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6DA1B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03.10.2022</w:t>
            </w:r>
          </w:p>
        </w:tc>
      </w:tr>
    </w:tbl>
    <w:p w:rsidR="00BC67F6" w:rsidRPr="008A3DA7" w:rsidP="00BC67F6" w14:paraId="0A85C58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9014457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C518A" w14:paraId="48F8B9EB" w14:textId="4A80DF7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11F05" w:rsidR="00AC518A">
              <w:rPr>
                <w:bCs/>
                <w:sz w:val="24"/>
                <w:lang w:val="lv-LV"/>
              </w:rPr>
              <w:t>Bērnu dienas nometne “Šaha Rudens-2022”</w:t>
            </w:r>
          </w:p>
        </w:tc>
      </w:tr>
      <w:tr w14:paraId="04143402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AC518A" w14:paraId="10A77A86" w14:textId="0BAAB6F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="00AC518A">
              <w:rPr>
                <w:b/>
                <w:sz w:val="24"/>
                <w:lang w:val="lv-LV"/>
              </w:rPr>
              <w:t xml:space="preserve"> </w:t>
            </w:r>
            <w:r w:rsidRPr="00911F05" w:rsidR="00AC518A">
              <w:rPr>
                <w:sz w:val="24"/>
                <w:lang w:val="lv-LV"/>
              </w:rPr>
              <w:t>Rīgas Šaha skola, reģ</w:t>
            </w:r>
            <w:r w:rsidR="00AC518A">
              <w:rPr>
                <w:sz w:val="24"/>
                <w:lang w:val="lv-LV"/>
              </w:rPr>
              <w:t>istrācijas</w:t>
            </w:r>
            <w:r w:rsidRPr="00911F05" w:rsidR="00AC518A">
              <w:rPr>
                <w:sz w:val="24"/>
                <w:lang w:val="lv-LV"/>
              </w:rPr>
              <w:t xml:space="preserve"> Nr. </w:t>
            </w:r>
            <w:r w:rsidRPr="00A6231B" w:rsidR="00A6231B">
              <w:rPr>
                <w:sz w:val="24"/>
                <w:lang w:val="lv-LV"/>
              </w:rPr>
              <w:t>3371902219</w:t>
            </w:r>
          </w:p>
        </w:tc>
      </w:tr>
      <w:tr w14:paraId="49A9528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15C1E" w14:paraId="161BF597" w14:textId="70B9D7F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11F05" w:rsidR="00AC518A">
              <w:rPr>
                <w:bCs/>
                <w:sz w:val="24"/>
                <w:lang w:val="lv-LV"/>
              </w:rPr>
              <w:t>Pērnavas iela 10, Rīga</w:t>
            </w:r>
          </w:p>
        </w:tc>
      </w:tr>
      <w:tr w14:paraId="1305FFA9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15C1E" w14:paraId="7FD11455" w14:textId="66C270E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C518A">
              <w:rPr>
                <w:sz w:val="24"/>
                <w:lang w:val="lv-LV"/>
              </w:rPr>
              <w:t xml:space="preserve">03.10.2022. vides veselības analītiķe Jeļena Gorjačeva, pamatojoties uz 05.10.2021. </w:t>
            </w:r>
            <w:r w:rsidRPr="00C15C1E" w:rsidR="00C15C1E">
              <w:rPr>
                <w:sz w:val="24"/>
                <w:lang w:val="lv-LV"/>
              </w:rPr>
              <w:t>vides veselības analītiķe</w:t>
            </w:r>
            <w:r w:rsidR="00C15C1E">
              <w:rPr>
                <w:sz w:val="24"/>
                <w:lang w:val="lv-LV"/>
              </w:rPr>
              <w:t>s</w:t>
            </w:r>
            <w:r w:rsidRPr="00C15C1E" w:rsidR="00C15C1E">
              <w:rPr>
                <w:sz w:val="24"/>
                <w:lang w:val="lv-LV"/>
              </w:rPr>
              <w:t xml:space="preserve"> Valērija</w:t>
            </w:r>
            <w:r w:rsidR="00C15C1E">
              <w:rPr>
                <w:sz w:val="24"/>
                <w:lang w:val="lv-LV"/>
              </w:rPr>
              <w:t>s</w:t>
            </w:r>
            <w:r w:rsidRPr="00C15C1E" w:rsidR="00C15C1E">
              <w:rPr>
                <w:sz w:val="24"/>
                <w:lang w:val="lv-LV"/>
              </w:rPr>
              <w:t xml:space="preserve"> Fomčenko</w:t>
            </w:r>
            <w:r w:rsidR="00C15C1E">
              <w:rPr>
                <w:sz w:val="24"/>
                <w:lang w:val="lv-LV"/>
              </w:rPr>
              <w:t xml:space="preserve"> </w:t>
            </w:r>
            <w:r w:rsidR="00AC518A">
              <w:rPr>
                <w:sz w:val="24"/>
                <w:lang w:val="lv-LV"/>
              </w:rPr>
              <w:t>veikto apsekojumu u</w:t>
            </w:r>
            <w:r w:rsidR="00C15C1E">
              <w:rPr>
                <w:sz w:val="24"/>
                <w:lang w:val="lv-LV"/>
              </w:rPr>
              <w:t xml:space="preserve">n </w:t>
            </w:r>
            <w:r w:rsidR="00AC518A">
              <w:rPr>
                <w:sz w:val="24"/>
                <w:lang w:val="lv-LV"/>
              </w:rPr>
              <w:t xml:space="preserve">Veselības inspekcijas </w:t>
            </w:r>
            <w:r w:rsidR="00C15C1E">
              <w:rPr>
                <w:sz w:val="24"/>
                <w:lang w:val="lv-LV"/>
              </w:rPr>
              <w:t>07</w:t>
            </w:r>
            <w:r w:rsidR="00AC518A">
              <w:rPr>
                <w:sz w:val="24"/>
                <w:lang w:val="lv-LV"/>
              </w:rPr>
              <w:t>.</w:t>
            </w:r>
            <w:r w:rsidR="00C15C1E">
              <w:rPr>
                <w:sz w:val="24"/>
                <w:lang w:val="lv-LV"/>
              </w:rPr>
              <w:t>10</w:t>
            </w:r>
            <w:r w:rsidR="00AC518A">
              <w:rPr>
                <w:sz w:val="24"/>
                <w:lang w:val="lv-LV"/>
              </w:rPr>
              <w:t>.2021. Atzinuma Nr.</w:t>
            </w:r>
            <w:r w:rsidRPr="008B22C5" w:rsidR="00AC518A">
              <w:rPr>
                <w:sz w:val="24"/>
                <w:lang w:val="lv-LV"/>
              </w:rPr>
              <w:t xml:space="preserve"> </w:t>
            </w:r>
            <w:r w:rsidRPr="00C15C1E" w:rsidR="00C15C1E">
              <w:rPr>
                <w:sz w:val="24"/>
                <w:lang w:val="lv-LV"/>
              </w:rPr>
              <w:t>4.5.-8./32419/1080</w:t>
            </w:r>
          </w:p>
        </w:tc>
      </w:tr>
      <w:tr w14:paraId="3CC90B71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C15C1E" w14:paraId="682DB6C1" w14:textId="5CB2C95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</w:t>
            </w:r>
            <w:r w:rsidRPr="00246554">
              <w:rPr>
                <w:b/>
                <w:sz w:val="24"/>
                <w:lang w:val="lv-LV"/>
              </w:rPr>
              <w:t>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15C1E" w:rsidR="00C15C1E">
              <w:rPr>
                <w:sz w:val="24"/>
                <w:lang w:val="lv-LV"/>
              </w:rPr>
              <w:t>Rīgas Šaha skolas direktore Līga Ungure</w:t>
            </w:r>
          </w:p>
        </w:tc>
      </w:tr>
      <w:tr w14:paraId="25993CDB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07C8B529" w14:textId="31EB073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EE24CE" w14:paraId="14656A3A" w14:textId="1082A40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C3426A" w:rsidP="00C3426A" w14:paraId="2EEF7F08" w14:textId="77777777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Bērnu dienas n</w:t>
            </w:r>
            <w:r w:rsidRPr="009002A5">
              <w:rPr>
                <w:sz w:val="24"/>
                <w:lang w:val="lv-LV"/>
              </w:rPr>
              <w:t>ometne</w:t>
            </w:r>
            <w:r>
              <w:rPr>
                <w:sz w:val="24"/>
                <w:lang w:val="lv-LV"/>
              </w:rPr>
              <w:t xml:space="preserve"> </w:t>
            </w:r>
            <w:r w:rsidRPr="00911F05">
              <w:rPr>
                <w:bCs/>
                <w:sz w:val="24"/>
                <w:lang w:val="lv-LV"/>
              </w:rPr>
              <w:t>“Šaha Rudens-2022”</w:t>
            </w:r>
            <w:r w:rsidRPr="009002A5">
              <w:rPr>
                <w:sz w:val="24"/>
                <w:lang w:val="lv-LV"/>
              </w:rPr>
              <w:t xml:space="preserve"> norisināsies no </w:t>
            </w:r>
            <w:r>
              <w:rPr>
                <w:sz w:val="24"/>
                <w:lang w:val="lv-LV"/>
              </w:rPr>
              <w:t>24</w:t>
            </w:r>
            <w:r w:rsidRPr="009002A5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oktobra</w:t>
            </w:r>
            <w:r w:rsidRPr="009002A5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28</w:t>
            </w:r>
            <w:r w:rsidRPr="009002A5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oktobrim</w:t>
            </w:r>
            <w:r w:rsidRPr="009002A5">
              <w:rPr>
                <w:sz w:val="24"/>
                <w:lang w:val="lv-LV"/>
              </w:rPr>
              <w:t xml:space="preserve"> katru dienu no plkst. 10.00 līdz plkst. 1</w:t>
            </w:r>
            <w:r>
              <w:rPr>
                <w:sz w:val="24"/>
                <w:lang w:val="lv-LV"/>
              </w:rPr>
              <w:t>6</w:t>
            </w:r>
            <w:r w:rsidRPr="009002A5">
              <w:rPr>
                <w:sz w:val="24"/>
                <w:lang w:val="lv-LV"/>
              </w:rPr>
              <w:t>.00</w:t>
            </w:r>
            <w:r>
              <w:rPr>
                <w:sz w:val="24"/>
                <w:lang w:val="lv-LV"/>
              </w:rPr>
              <w:t xml:space="preserve"> Rīgas Šaha skolas telpās, kas atrodas Pērnavas ielā 10, </w:t>
            </w:r>
            <w:r w:rsidRPr="000E5C85">
              <w:rPr>
                <w:bCs/>
                <w:sz w:val="24"/>
                <w:lang w:val="lv-LV"/>
              </w:rPr>
              <w:t xml:space="preserve">Rīgā. Maksimālais dalībnieku skaits - 20 bērni. </w:t>
            </w:r>
          </w:p>
          <w:p w:rsidR="009002A5" w:rsidRPr="00C3426A" w:rsidP="00C3426A" w14:paraId="16C8E2C7" w14:textId="0DF94598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0E5C85">
              <w:rPr>
                <w:bCs/>
                <w:sz w:val="24"/>
                <w:lang w:val="lv-LV"/>
              </w:rPr>
              <w:t>Telpu sastāvs 1. stāvā: priekštelpa un recepcija, kabinets, zēnu tualete, nodarbību zāle (66,0 m</w:t>
            </w:r>
            <w:r w:rsidRPr="00C3426A">
              <w:rPr>
                <w:bCs/>
                <w:sz w:val="24"/>
                <w:vertAlign w:val="superscript"/>
                <w:lang w:val="lv-LV"/>
              </w:rPr>
              <w:t>2</w:t>
            </w:r>
            <w:r w:rsidRPr="000E5C85">
              <w:rPr>
                <w:bCs/>
                <w:sz w:val="24"/>
                <w:lang w:val="lv-LV"/>
              </w:rPr>
              <w:t>), koridors, tehniskā telpa, no kuras iet kāpnes uz pagrabstāvu, saimniecības daļas vadītāja kabinets, meiteņu tualete, mācību daļas kabinets</w:t>
            </w:r>
            <w:r w:rsidRPr="009002A5">
              <w:rPr>
                <w:sz w:val="24"/>
                <w:lang w:val="lv-LV"/>
              </w:rPr>
              <w:t>, direktores kabinets, personāla tualete, nodarbību telpa (45</w:t>
            </w:r>
            <w:r w:rsidR="000E5C85">
              <w:rPr>
                <w:sz w:val="24"/>
                <w:lang w:val="lv-LV"/>
              </w:rPr>
              <w:t>,0</w:t>
            </w:r>
            <w:r w:rsidRPr="009002A5">
              <w:rPr>
                <w:sz w:val="24"/>
                <w:lang w:val="lv-LV"/>
              </w:rPr>
              <w:t xml:space="preserve"> m</w:t>
            </w:r>
            <w:r w:rsidRPr="009002A5">
              <w:rPr>
                <w:sz w:val="24"/>
                <w:vertAlign w:val="superscript"/>
                <w:lang w:val="lv-LV"/>
              </w:rPr>
              <w:t>2</w:t>
            </w:r>
            <w:r w:rsidRPr="009002A5">
              <w:rPr>
                <w:sz w:val="24"/>
                <w:lang w:val="lv-LV"/>
              </w:rPr>
              <w:t>),</w:t>
            </w:r>
            <w:r>
              <w:rPr>
                <w:sz w:val="24"/>
                <w:lang w:val="lv-LV"/>
              </w:rPr>
              <w:t xml:space="preserve"> </w:t>
            </w:r>
            <w:r w:rsidRPr="009002A5">
              <w:rPr>
                <w:sz w:val="24"/>
                <w:lang w:val="lv-LV"/>
              </w:rPr>
              <w:t>metodiķa kabinets, tualete cilvēkiem ar ierobežotām funkcionālām spējām, nodarbību telpa</w:t>
            </w:r>
            <w:r>
              <w:rPr>
                <w:sz w:val="24"/>
                <w:lang w:val="lv-LV"/>
              </w:rPr>
              <w:t xml:space="preserve"> </w:t>
            </w:r>
            <w:r w:rsidRPr="009002A5">
              <w:rPr>
                <w:sz w:val="24"/>
                <w:lang w:val="lv-LV"/>
              </w:rPr>
              <w:t>(43,3 m</w:t>
            </w:r>
            <w:r w:rsidRPr="00C3426A">
              <w:rPr>
                <w:sz w:val="24"/>
                <w:vertAlign w:val="superscript"/>
                <w:lang w:val="lv-LV"/>
              </w:rPr>
              <w:t>2</w:t>
            </w:r>
            <w:r w:rsidRPr="009002A5">
              <w:rPr>
                <w:sz w:val="24"/>
                <w:lang w:val="lv-LV"/>
              </w:rPr>
              <w:t>), sētas izeja ar ierīkotu pacēlāju.</w:t>
            </w:r>
            <w:r w:rsidRPr="005B6078" w:rsidR="000E5C85">
              <w:rPr>
                <w:lang w:val="lv-LV"/>
              </w:rPr>
              <w:t xml:space="preserve"> </w:t>
            </w:r>
            <w:r w:rsidRPr="000E5C85" w:rsidR="000E5C85">
              <w:rPr>
                <w:sz w:val="24"/>
                <w:lang w:val="lv-LV"/>
              </w:rPr>
              <w:t xml:space="preserve">Nometnes vajadzībām  </w:t>
            </w:r>
            <w:r w:rsidR="000E5C85">
              <w:rPr>
                <w:sz w:val="24"/>
                <w:lang w:val="lv-LV"/>
              </w:rPr>
              <w:t xml:space="preserve">plānots </w:t>
            </w:r>
            <w:r w:rsidRPr="000E5C85" w:rsidR="000E5C85">
              <w:rPr>
                <w:sz w:val="24"/>
                <w:lang w:val="lv-LV"/>
              </w:rPr>
              <w:t>izmanto</w:t>
            </w:r>
            <w:r w:rsidR="000E5C85">
              <w:rPr>
                <w:sz w:val="24"/>
                <w:lang w:val="lv-LV"/>
              </w:rPr>
              <w:t>t</w:t>
            </w:r>
            <w:r w:rsidRPr="000E5C85" w:rsidR="000E5C85">
              <w:rPr>
                <w:sz w:val="24"/>
                <w:lang w:val="lv-LV"/>
              </w:rPr>
              <w:t xml:space="preserve"> 3 nodarbību telpas</w:t>
            </w:r>
            <w:r w:rsidR="000E5C85">
              <w:rPr>
                <w:sz w:val="24"/>
                <w:lang w:val="lv-LV"/>
              </w:rPr>
              <w:t xml:space="preserve">. Tualetes telpās personīgās higiēnas ievērošanas apstākļi ir nodrošināti. </w:t>
            </w:r>
          </w:p>
          <w:p w:rsidR="000E5C85" w:rsidRPr="000E5C85" w:rsidP="000E5C85" w14:paraId="25487954" w14:textId="63D59069">
            <w:pPr>
              <w:overflowPunct/>
              <w:autoSpaceDE/>
              <w:adjustRightInd/>
              <w:ind w:right="6" w:firstLine="209"/>
              <w:jc w:val="both"/>
              <w:rPr>
                <w:spacing w:val="-2"/>
                <w:sz w:val="24"/>
                <w:lang w:val="lv-LV"/>
              </w:rPr>
            </w:pPr>
            <w:r w:rsidRPr="000E5C85">
              <w:rPr>
                <w:spacing w:val="-2"/>
                <w:sz w:val="24"/>
                <w:lang w:val="lv-LV"/>
              </w:rPr>
              <w:t xml:space="preserve">Saņemts </w:t>
            </w:r>
            <w:r w:rsidRPr="00C15C1E">
              <w:rPr>
                <w:sz w:val="24"/>
                <w:lang w:val="lv-LV"/>
              </w:rPr>
              <w:t>Rīgas Šaha skolas direktore</w:t>
            </w:r>
            <w:r>
              <w:rPr>
                <w:sz w:val="24"/>
                <w:lang w:val="lv-LV"/>
              </w:rPr>
              <w:t xml:space="preserve">s </w:t>
            </w:r>
            <w:r w:rsidRPr="00C15C1E">
              <w:rPr>
                <w:sz w:val="24"/>
                <w:lang w:val="lv-LV"/>
              </w:rPr>
              <w:t>Līga</w:t>
            </w:r>
            <w:r>
              <w:rPr>
                <w:sz w:val="24"/>
                <w:lang w:val="lv-LV"/>
              </w:rPr>
              <w:t>s</w:t>
            </w:r>
            <w:r w:rsidRPr="00C15C1E">
              <w:rPr>
                <w:sz w:val="24"/>
                <w:lang w:val="lv-LV"/>
              </w:rPr>
              <w:t xml:space="preserve"> Ungure</w:t>
            </w:r>
            <w:r>
              <w:rPr>
                <w:sz w:val="24"/>
                <w:lang w:val="lv-LV"/>
              </w:rPr>
              <w:t>s</w:t>
            </w:r>
            <w:r w:rsidRPr="000E5C85">
              <w:rPr>
                <w:spacing w:val="-2"/>
                <w:sz w:val="24"/>
                <w:lang w:val="lv-LV"/>
              </w:rPr>
              <w:t xml:space="preserve"> apliecinājums, ka objektā nav notikušas</w:t>
            </w:r>
          </w:p>
          <w:p w:rsidR="000E5C85" w:rsidP="00747C81" w14:paraId="2BAD5B9D" w14:textId="27E9B4AA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0E5C85">
              <w:rPr>
                <w:spacing w:val="-2"/>
                <w:sz w:val="24"/>
                <w:lang w:val="lv-LV"/>
              </w:rPr>
              <w:t>izmaiņas, kas var ietekmēt higiēnas prasību ievērošanu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0E5C85">
              <w:rPr>
                <w:spacing w:val="-2"/>
                <w:sz w:val="24"/>
                <w:lang w:val="lv-LV"/>
              </w:rPr>
              <w:t>kopš pēdējā veiktā apsekojuma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0E5C85">
              <w:rPr>
                <w:spacing w:val="-2"/>
                <w:sz w:val="24"/>
                <w:lang w:val="lv-LV"/>
              </w:rPr>
              <w:t>05.10.2021. un Veselības inspekcijas izsniegtā Atzinuma Nr.4.5.-8./32419/1080</w:t>
            </w:r>
            <w:r>
              <w:rPr>
                <w:spacing w:val="-2"/>
                <w:sz w:val="24"/>
                <w:lang w:val="lv-LV"/>
              </w:rPr>
              <w:t>.</w:t>
            </w:r>
            <w:r w:rsidR="00747C81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 xml:space="preserve">Nometnes vadītājs - </w:t>
            </w:r>
            <w:r w:rsidRPr="000E5C85">
              <w:rPr>
                <w:spacing w:val="-2"/>
                <w:sz w:val="24"/>
                <w:lang w:val="lv-LV"/>
              </w:rPr>
              <w:t>Semjons Galkins</w:t>
            </w:r>
            <w:r w:rsidR="00C3426A">
              <w:rPr>
                <w:spacing w:val="-2"/>
                <w:sz w:val="24"/>
                <w:lang w:val="lv-LV"/>
              </w:rPr>
              <w:t xml:space="preserve"> (n</w:t>
            </w:r>
            <w:r w:rsidRPr="00C3426A" w:rsidR="00C3426A">
              <w:rPr>
                <w:spacing w:val="-2"/>
                <w:sz w:val="24"/>
                <w:lang w:val="lv-LV"/>
              </w:rPr>
              <w:t xml:space="preserve">ometņu vadītāja apliecības </w:t>
            </w:r>
            <w:r w:rsidR="00C3426A">
              <w:rPr>
                <w:spacing w:val="-2"/>
                <w:sz w:val="24"/>
                <w:lang w:val="lv-LV"/>
              </w:rPr>
              <w:t>N</w:t>
            </w:r>
            <w:r w:rsidR="0055780D">
              <w:rPr>
                <w:spacing w:val="-2"/>
                <w:sz w:val="24"/>
                <w:lang w:val="lv-LV"/>
              </w:rPr>
              <w:t>r.</w:t>
            </w:r>
            <w:r w:rsidRPr="0055780D" w:rsidR="0055780D">
              <w:rPr>
                <w:spacing w:val="-2"/>
                <w:sz w:val="24"/>
                <w:lang w:val="lv-LV"/>
              </w:rPr>
              <w:t xml:space="preserve"> 116-00748</w:t>
            </w:r>
            <w:r w:rsidR="00747C81">
              <w:rPr>
                <w:spacing w:val="-2"/>
                <w:sz w:val="24"/>
                <w:lang w:val="lv-LV"/>
              </w:rPr>
              <w:t>).</w:t>
            </w:r>
            <w:r w:rsidR="00C3426A">
              <w:rPr>
                <w:spacing w:val="-2"/>
                <w:sz w:val="24"/>
                <w:lang w:val="lv-LV"/>
              </w:rPr>
              <w:t xml:space="preserve"> </w:t>
            </w:r>
          </w:p>
          <w:p w:rsidR="00246554" w:rsidRPr="00246554" w:rsidP="000E5C85" w14:paraId="12231C7A" w14:textId="7FE243AB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747C81" w:rsidP="00747C81" w14:paraId="680826E5" w14:textId="346000F6">
            <w:pPr>
              <w:overflowPunct/>
              <w:autoSpaceDE/>
              <w:adjustRightInd/>
              <w:ind w:right="6" w:firstLine="201"/>
              <w:jc w:val="both"/>
              <w:rPr>
                <w:sz w:val="24"/>
                <w:szCs w:val="20"/>
                <w:lang w:val="lv-LV"/>
              </w:rPr>
            </w:pPr>
            <w:r w:rsidRPr="00AC607B">
              <w:rPr>
                <w:sz w:val="24"/>
                <w:lang w:val="lv-LV"/>
              </w:rPr>
              <w:t xml:space="preserve">Telpu iekšējai </w:t>
            </w:r>
            <w:r w:rsidRPr="00DD1702">
              <w:rPr>
                <w:sz w:val="24"/>
                <w:lang w:val="lv-LV"/>
              </w:rPr>
              <w:t xml:space="preserve">apdarei izmantoti </w:t>
            </w:r>
            <w:r w:rsidRPr="00DD1702">
              <w:rPr>
                <w:sz w:val="24"/>
                <w:szCs w:val="20"/>
                <w:lang w:val="lv-LV"/>
              </w:rPr>
              <w:t>kvalitatīvie un telpu funkcijai atbilstošie materiāli</w:t>
            </w:r>
            <w:r w:rsidR="00747C81">
              <w:rPr>
                <w:sz w:val="24"/>
                <w:szCs w:val="20"/>
                <w:lang w:val="lv-LV"/>
              </w:rPr>
              <w:t xml:space="preserve"> (</w:t>
            </w:r>
            <w:r w:rsidRPr="00747C81" w:rsidR="00747C81">
              <w:rPr>
                <w:sz w:val="24"/>
                <w:szCs w:val="20"/>
                <w:lang w:val="lv-LV"/>
              </w:rPr>
              <w:t>linolejs, sienām</w:t>
            </w:r>
            <w:r w:rsidR="00747C81">
              <w:rPr>
                <w:sz w:val="24"/>
                <w:szCs w:val="20"/>
                <w:lang w:val="lv-LV"/>
              </w:rPr>
              <w:t xml:space="preserve"> </w:t>
            </w:r>
            <w:r w:rsidRPr="00747C81" w:rsidR="00747C81">
              <w:rPr>
                <w:sz w:val="24"/>
                <w:szCs w:val="20"/>
                <w:lang w:val="lv-LV"/>
              </w:rPr>
              <w:t>pielietots krāsotais apmetums, sanitārajos mezglos – flīžu apdare</w:t>
            </w:r>
            <w:r w:rsidR="00747C81">
              <w:rPr>
                <w:sz w:val="24"/>
                <w:szCs w:val="20"/>
                <w:lang w:val="lv-LV"/>
              </w:rPr>
              <w:t xml:space="preserve">). </w:t>
            </w:r>
          </w:p>
          <w:p w:rsidR="00246554" w:rsidP="00D437BF" w14:paraId="1BC91056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C15C1E" w:rsidP="00C15C1E" w14:paraId="0B84715C" w14:textId="44BDB3BB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C15C1E">
              <w:rPr>
                <w:bCs/>
                <w:sz w:val="24"/>
                <w:lang w:val="lv-LV"/>
              </w:rPr>
              <w:t>Telpu apgaismojums - dabiskais un mākslīgais, vizuāli pietiekošs.</w:t>
            </w:r>
          </w:p>
          <w:p w:rsidR="00CF27A6" w:rsidP="00D437BF" w14:paraId="72FDA026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C15C1E" w:rsidP="00C15C1E" w14:paraId="06F5C7D2" w14:textId="089446B4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 w:rsidRPr="00C15C1E">
              <w:rPr>
                <w:spacing w:val="-2"/>
                <w:sz w:val="24"/>
                <w:lang w:val="lv-LV"/>
              </w:rPr>
              <w:t>Centrālapkure.</w:t>
            </w:r>
          </w:p>
          <w:p w:rsidR="00CF27A6" w:rsidP="00A7576E" w14:paraId="1DFF7A10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C15C1E" w:rsidP="00C15C1E" w14:paraId="6CFA892F" w14:textId="71A11D06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C15C1E">
              <w:rPr>
                <w:bCs/>
                <w:sz w:val="24"/>
                <w:lang w:val="lv-LV"/>
              </w:rPr>
              <w:t>Dabiskā caur logiem un durvīm. Sanitārajos mezglos un tehniskajā telpā – piespiedu nosūces ventilācija ar sadzīves ventilatoru palīdzību.</w:t>
            </w:r>
          </w:p>
          <w:p w:rsidR="002213CB" w:rsidRPr="000964F0" w:rsidP="00D437BF" w14:paraId="626DB3F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C15C1E" w14:paraId="259D766D" w14:textId="4FCA5922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Centralizētie tīkli. </w:t>
            </w:r>
          </w:p>
          <w:p w:rsidR="002213CB" w:rsidRPr="000964F0" w:rsidP="00A7576E" w14:paraId="24D504D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C15C1E" w14:paraId="1B26C23C" w14:textId="561B9F07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Centralizētie tīkli. </w:t>
            </w:r>
          </w:p>
          <w:p w:rsidR="002213CB" w:rsidRPr="000964F0" w:rsidP="008179CE" w14:paraId="38F6386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C15C1E" w14:paraId="58DDF778" w14:textId="7C33E7B8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C15C1E">
              <w:rPr>
                <w:sz w:val="24"/>
                <w:lang w:val="lv-LV"/>
              </w:rPr>
              <w:t>Nometnei nav savas teritorijas</w:t>
            </w:r>
            <w:r w:rsidR="003609C1">
              <w:rPr>
                <w:sz w:val="24"/>
                <w:lang w:val="lv-LV"/>
              </w:rPr>
              <w:t xml:space="preserve">. </w:t>
            </w:r>
            <w:r w:rsidRPr="003609C1" w:rsidR="003609C1">
              <w:rPr>
                <w:sz w:val="24"/>
                <w:lang w:val="lv-LV"/>
              </w:rPr>
              <w:t>Teritorija ap ēku ir labiekārtota</w:t>
            </w:r>
            <w:r w:rsidR="003609C1">
              <w:rPr>
                <w:sz w:val="24"/>
                <w:lang w:val="lv-LV"/>
              </w:rPr>
              <w:t xml:space="preserve">. </w:t>
            </w:r>
          </w:p>
          <w:p w:rsidR="002E3FF9" w:rsidRPr="000964F0" w:rsidP="00D437BF" w14:paraId="566B97B3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841DAB" w:rsidRPr="00A7176E" w:rsidP="00841DAB" w14:paraId="6DA0F3C1" w14:textId="0569ADF9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 w:rsidRPr="00841DAB">
              <w:rPr>
                <w:spacing w:val="-2"/>
                <w:sz w:val="24"/>
                <w:lang w:val="lv-LV"/>
              </w:rPr>
              <w:t xml:space="preserve">Vides pieejamība ir nodrošināta 1. stāva līmenī. </w:t>
            </w:r>
            <w:r>
              <w:rPr>
                <w:spacing w:val="-2"/>
                <w:sz w:val="24"/>
                <w:lang w:val="lv-LV"/>
              </w:rPr>
              <w:t>P</w:t>
            </w:r>
            <w:r w:rsidRPr="00841DAB">
              <w:rPr>
                <w:spacing w:val="-2"/>
                <w:sz w:val="24"/>
                <w:lang w:val="lv-LV"/>
              </w:rPr>
              <w:t>ie pagalma ieejas uzstādīts vertikālais pacēlājs.</w:t>
            </w:r>
            <w:r w:rsidR="008D2B46">
              <w:rPr>
                <w:spacing w:val="-2"/>
                <w:sz w:val="24"/>
                <w:lang w:val="lv-LV"/>
              </w:rPr>
              <w:t xml:space="preserve"> Ēkas 1.stāvā </w:t>
            </w:r>
            <w:r w:rsidRPr="008D2B46" w:rsidR="008D2B46">
              <w:rPr>
                <w:spacing w:val="-2"/>
                <w:sz w:val="24"/>
                <w:lang w:val="lv-LV"/>
              </w:rPr>
              <w:t>ir nodrošināta ērtas pārvietošanās iespējas iekštelpās</w:t>
            </w:r>
            <w:r w:rsidR="008D2B46">
              <w:rPr>
                <w:spacing w:val="-2"/>
                <w:sz w:val="24"/>
                <w:lang w:val="lv-LV"/>
              </w:rPr>
              <w:t xml:space="preserve"> un</w:t>
            </w:r>
            <w:r w:rsidRPr="00841DAB" w:rsidR="008D2B46">
              <w:rPr>
                <w:spacing w:val="-2"/>
                <w:sz w:val="24"/>
                <w:lang w:val="lv-LV"/>
              </w:rPr>
              <w:t xml:space="preserve"> </w:t>
            </w:r>
            <w:r w:rsidR="008D2B46">
              <w:rPr>
                <w:spacing w:val="-2"/>
                <w:sz w:val="24"/>
                <w:lang w:val="lv-LV"/>
              </w:rPr>
              <w:t>p</w:t>
            </w:r>
            <w:r w:rsidRPr="00841DAB" w:rsidR="008D2B46">
              <w:rPr>
                <w:spacing w:val="-2"/>
                <w:sz w:val="24"/>
                <w:lang w:val="lv-LV"/>
              </w:rPr>
              <w:t>ieejama vides pieejamības prasībām atbilstoša tualete</w:t>
            </w:r>
            <w:r w:rsidR="008D2B46">
              <w:rPr>
                <w:spacing w:val="-2"/>
                <w:sz w:val="24"/>
                <w:lang w:val="lv-LV"/>
              </w:rPr>
              <w:t xml:space="preserve">. </w:t>
            </w:r>
            <w:r w:rsidRPr="00841DAB">
              <w:rPr>
                <w:spacing w:val="-2"/>
                <w:sz w:val="24"/>
                <w:lang w:val="lv-LV"/>
              </w:rPr>
              <w:t>Pieeja pagrabstāvam nav nodrošināta</w:t>
            </w:r>
            <w:r w:rsidR="008D2B46">
              <w:rPr>
                <w:spacing w:val="-2"/>
                <w:sz w:val="24"/>
                <w:lang w:val="lv-LV"/>
              </w:rPr>
              <w:t xml:space="preserve">. </w:t>
            </w:r>
          </w:p>
          <w:p w:rsidR="00A7176E" w:rsidRPr="000964F0" w:rsidP="00D437BF" w14:paraId="506A066B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2B46" w14:paraId="0E852997" w14:textId="2505F68E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7D24F16F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02C05D7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A3DA7" w:rsidP="00EE24CE" w14:paraId="1F077BCC" w14:textId="69658849">
            <w:pPr>
              <w:ind w:firstLine="201"/>
              <w:jc w:val="both"/>
              <w:rPr>
                <w:sz w:val="24"/>
                <w:lang w:val="lv-LV"/>
              </w:rPr>
            </w:pPr>
            <w:r w:rsidRPr="00EE24CE">
              <w:rPr>
                <w:sz w:val="24"/>
                <w:lang w:val="lv-LV"/>
              </w:rPr>
              <w:t>Objekts „Bērnu dienas nometne „Šaha Rudens-202</w:t>
            </w:r>
            <w:r>
              <w:rPr>
                <w:sz w:val="24"/>
                <w:lang w:val="lv-LV"/>
              </w:rPr>
              <w:t>2</w:t>
            </w:r>
            <w:r w:rsidRPr="00EE24CE">
              <w:rPr>
                <w:sz w:val="24"/>
                <w:lang w:val="lv-LV"/>
              </w:rPr>
              <w:t>”” Pērnavas ielā 10, Rīgā atbilst higiēnas</w:t>
            </w:r>
            <w:r>
              <w:rPr>
                <w:sz w:val="24"/>
                <w:lang w:val="lv-LV"/>
              </w:rPr>
              <w:t xml:space="preserve"> </w:t>
            </w:r>
            <w:r w:rsidRPr="00EE24CE">
              <w:rPr>
                <w:sz w:val="24"/>
                <w:lang w:val="lv-LV"/>
              </w:rPr>
              <w:t>prasībām.</w:t>
            </w:r>
          </w:p>
        </w:tc>
      </w:tr>
      <w:tr w14:paraId="3C180A04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D4F3599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775F4C" w:rsidRPr="00D32BD8" w:rsidP="00775F4C" w14:paraId="7C2EED23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775F4C" w:rsidP="00775F4C" w14:paraId="2F4C53B9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775F4C" w14:paraId="32C7F53E" w14:textId="1E34AB5D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014501AA" w14:textId="77777777">
      <w:pPr>
        <w:jc w:val="both"/>
        <w:rPr>
          <w:sz w:val="24"/>
          <w:lang w:val="lv-LV"/>
        </w:rPr>
      </w:pPr>
    </w:p>
    <w:p w:rsidR="002A39F3" w:rsidP="002A39F3" w14:paraId="53AF4468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618FD919" w14:textId="77777777" w:rsidTr="00DA7D7C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AC518A" w:rsidRPr="005047F5" w:rsidP="00DA7D7C" w14:paraId="3294B7F5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AC518A" w:rsidRPr="008A3DA7" w:rsidP="00DA7D7C" w14:paraId="0E620614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9C31AA0" w14:textId="77777777" w:rsidTr="00DA7D7C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AC518A" w:rsidRPr="008A3DA7" w:rsidP="00DA7D7C" w14:paraId="668877E2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AC518A" w:rsidRPr="008A3DA7" w:rsidP="00DA7D7C" w14:paraId="1C6C1735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AC518A" w:rsidRPr="00B715B1" w:rsidP="00AC518A" w14:paraId="4CE16C2D" w14:textId="77777777">
      <w:pPr>
        <w:jc w:val="both"/>
        <w:rPr>
          <w:sz w:val="24"/>
          <w:lang w:val="lv-LV"/>
        </w:rPr>
      </w:pPr>
    </w:p>
    <w:p w:rsidR="00AC518A" w:rsidRPr="00B715B1" w:rsidP="00AC518A" w14:paraId="7EFFE484" w14:textId="77777777">
      <w:pPr>
        <w:rPr>
          <w:sz w:val="24"/>
          <w:lang w:val="lv-LV"/>
        </w:rPr>
      </w:pPr>
    </w:p>
    <w:p w:rsidR="00AC518A" w:rsidRPr="00B715B1" w:rsidP="00AC518A" w14:paraId="39EEAAE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217E2CBE" w14:textId="77777777" w:rsidTr="00DA7D7C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AC518A" w:rsidRPr="00B05905" w:rsidP="00DA7D7C" w14:paraId="141FC2BB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5FBB9F0B" w14:textId="77777777" w:rsidTr="00DA7D7C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AC518A" w:rsidRPr="00B05905" w:rsidP="00DA7D7C" w14:paraId="00874055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P="00D84C4B" w14:paraId="329F6623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3BF7B52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28ED17BF" w14:textId="77777777">
    <w:pPr>
      <w:pStyle w:val="Footer"/>
      <w:rPr>
        <w:sz w:val="20"/>
        <w:lang w:val="lv-LV"/>
      </w:rPr>
    </w:pPr>
  </w:p>
  <w:p w:rsidR="002E3FF9" w:rsidRPr="00E53C2B" w:rsidP="00E53C2B" w14:paraId="2AB4C2EB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386C853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64078F6" w14:textId="77777777">
    <w:pPr>
      <w:pStyle w:val="Footer"/>
      <w:rPr>
        <w:sz w:val="20"/>
        <w:lang w:val="lv-LV"/>
      </w:rPr>
    </w:pPr>
  </w:p>
  <w:p w:rsidR="002E3FF9" w:rsidRPr="00022614" w14:paraId="626D3C3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51B743B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7EAD1EC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64E7FB0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3295179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3FF8576A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63A73AB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1B74520C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587C518D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 xml:space="preserve">Veselības </w:t>
          </w:r>
          <w:r w:rsidRPr="00C752CC">
            <w:rPr>
              <w:sz w:val="24"/>
              <w:lang w:val="lv-LV"/>
            </w:rPr>
            <w:t>inspekcijas</w:t>
          </w:r>
        </w:p>
        <w:p w:rsidR="002E3FF9" w:rsidRPr="0035491C" w:rsidP="00C752CC" w14:paraId="34517B18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03.10.2022</w:t>
          </w:r>
        </w:p>
        <w:p w:rsidR="002E3FF9" w:rsidP="00C752CC" w14:paraId="34EC1EA3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16021AA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2.4.5.-8/1068</w:t>
          </w:r>
        </w:p>
      </w:tc>
    </w:tr>
  </w:tbl>
  <w:p w:rsidR="002E3FF9" w:rsidRPr="00783D52" w:rsidP="00633DAF" w14:paraId="353E63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357B6E0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B39D90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5548393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0E5C85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609C1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037DB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514D8"/>
    <w:rsid w:val="00552816"/>
    <w:rsid w:val="0055780D"/>
    <w:rsid w:val="00560950"/>
    <w:rsid w:val="00562B75"/>
    <w:rsid w:val="00567F04"/>
    <w:rsid w:val="005827EC"/>
    <w:rsid w:val="00585B96"/>
    <w:rsid w:val="00594DBA"/>
    <w:rsid w:val="005A4699"/>
    <w:rsid w:val="005B6078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37DE6"/>
    <w:rsid w:val="007472DF"/>
    <w:rsid w:val="00747C81"/>
    <w:rsid w:val="00750DB1"/>
    <w:rsid w:val="00761EB0"/>
    <w:rsid w:val="00775F4C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79CE"/>
    <w:rsid w:val="00822BBD"/>
    <w:rsid w:val="008355A6"/>
    <w:rsid w:val="00840480"/>
    <w:rsid w:val="00841DAB"/>
    <w:rsid w:val="00842E5D"/>
    <w:rsid w:val="008525E4"/>
    <w:rsid w:val="00857D6E"/>
    <w:rsid w:val="00872DDD"/>
    <w:rsid w:val="0089710B"/>
    <w:rsid w:val="008A1242"/>
    <w:rsid w:val="008A3DA7"/>
    <w:rsid w:val="008A6AAF"/>
    <w:rsid w:val="008B22C5"/>
    <w:rsid w:val="008B5FC3"/>
    <w:rsid w:val="008C06D3"/>
    <w:rsid w:val="008C37E6"/>
    <w:rsid w:val="008D0063"/>
    <w:rsid w:val="008D1487"/>
    <w:rsid w:val="008D2B46"/>
    <w:rsid w:val="008E0C54"/>
    <w:rsid w:val="008E3B42"/>
    <w:rsid w:val="009002A5"/>
    <w:rsid w:val="00900669"/>
    <w:rsid w:val="00911A26"/>
    <w:rsid w:val="00911F05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6231B"/>
    <w:rsid w:val="00A7176E"/>
    <w:rsid w:val="00A71A45"/>
    <w:rsid w:val="00A731DE"/>
    <w:rsid w:val="00A7576E"/>
    <w:rsid w:val="00A8594B"/>
    <w:rsid w:val="00A93E38"/>
    <w:rsid w:val="00A945E8"/>
    <w:rsid w:val="00AA55CF"/>
    <w:rsid w:val="00AB48C7"/>
    <w:rsid w:val="00AB4FB4"/>
    <w:rsid w:val="00AB5F35"/>
    <w:rsid w:val="00AC518A"/>
    <w:rsid w:val="00AC607B"/>
    <w:rsid w:val="00AD4E4E"/>
    <w:rsid w:val="00AE06D7"/>
    <w:rsid w:val="00AF6968"/>
    <w:rsid w:val="00B05905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5C1E"/>
    <w:rsid w:val="00C17178"/>
    <w:rsid w:val="00C26E07"/>
    <w:rsid w:val="00C274B1"/>
    <w:rsid w:val="00C3426A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5B8D"/>
    <w:rsid w:val="00D7017A"/>
    <w:rsid w:val="00D71A5E"/>
    <w:rsid w:val="00D72ED9"/>
    <w:rsid w:val="00D8114C"/>
    <w:rsid w:val="00D84ADB"/>
    <w:rsid w:val="00D84C4B"/>
    <w:rsid w:val="00DA043F"/>
    <w:rsid w:val="00DA7D7C"/>
    <w:rsid w:val="00DB5642"/>
    <w:rsid w:val="00DB6B34"/>
    <w:rsid w:val="00DB74BC"/>
    <w:rsid w:val="00DD1702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62112"/>
    <w:rsid w:val="00E65A39"/>
    <w:rsid w:val="00E66AC6"/>
    <w:rsid w:val="00E76432"/>
    <w:rsid w:val="00E82EDD"/>
    <w:rsid w:val="00E90474"/>
    <w:rsid w:val="00EA22ED"/>
    <w:rsid w:val="00EB5F72"/>
    <w:rsid w:val="00EE24CE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D34"/>
    <w:rsid w:val="00F8783A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DD14B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443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Olga Saganoviča</cp:lastModifiedBy>
  <cp:revision>8</cp:revision>
  <cp:lastPrinted>2017-09-20T12:25:00Z</cp:lastPrinted>
  <dcterms:created xsi:type="dcterms:W3CDTF">2022-10-03T08:15:00Z</dcterms:created>
  <dcterms:modified xsi:type="dcterms:W3CDTF">2022-10-03T10:36:00Z</dcterms:modified>
</cp:coreProperties>
</file>