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7F06D0" w:rsidTr="00E262F2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62F2" w:rsidRDefault="00B36234" w:rsidP="00E262F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F06D0" w:rsidTr="00E262F2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5A7D37" w:rsidRPr="002A02AD" w:rsidRDefault="00B36234" w:rsidP="005A7D37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KURZEMES REĢIONA BRIGĀDE</w:t>
            </w:r>
          </w:p>
          <w:p w:rsidR="00E262F2" w:rsidRDefault="00B36234" w:rsidP="005A7D37">
            <w:pPr>
              <w:jc w:val="center"/>
            </w:pP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Ganību ielā 63/67, Liepāja, LV-3401; tālr.:63404475; e-pasts</w:t>
            </w:r>
            <w:r w:rsidRPr="008A1A55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8" w:history="1">
              <w:r w:rsidRPr="008A1A55">
                <w:rPr>
                  <w:rStyle w:val="Hipersaite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kurzeme@vugd.gov.lv</w:t>
              </w:r>
            </w:hyperlink>
            <w:r w:rsidRPr="005A7D37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, </w:t>
            </w:r>
            <w:r w:rsidRPr="00BB5A54">
              <w:rPr>
                <w:rFonts w:ascii="Times New Roman" w:hAnsi="Times New Roman"/>
                <w:spacing w:val="-2"/>
                <w:sz w:val="17"/>
                <w:szCs w:val="17"/>
              </w:rPr>
              <w:t>www.vugd.gov.lv</w:t>
            </w:r>
          </w:p>
        </w:tc>
      </w:tr>
    </w:tbl>
    <w:p w:rsidR="00C959F6" w:rsidRDefault="00C959F6"/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91"/>
        <w:gridCol w:w="4631"/>
      </w:tblGrid>
      <w:tr w:rsidR="007F06D0" w:rsidTr="00C3455D">
        <w:trPr>
          <w:jc w:val="center"/>
        </w:trPr>
        <w:tc>
          <w:tcPr>
            <w:tcW w:w="3818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B36234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Liepāja</w:t>
            </w:r>
          </w:p>
        </w:tc>
        <w:tc>
          <w:tcPr>
            <w:tcW w:w="1480" w:type="dxa"/>
            <w:tcBorders>
              <w:left w:val="nil"/>
            </w:tcBorders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Māteru Jura Kazdangas pamatskola</w:t>
            </w:r>
          </w:p>
        </w:tc>
      </w:tr>
      <w:tr w:rsidR="007F06D0" w:rsidTr="005040A3">
        <w:trPr>
          <w:trHeight w:val="375"/>
          <w:jc w:val="center"/>
        </w:trPr>
        <w:tc>
          <w:tcPr>
            <w:tcW w:w="3818" w:type="dxa"/>
            <w:shd w:val="clear" w:color="auto" w:fill="auto"/>
          </w:tcPr>
          <w:p w:rsidR="00B42A8D" w:rsidRPr="005D1C44" w:rsidRDefault="00B36234" w:rsidP="005040A3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:rsidR="00B42A8D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nosaukums vai fiziskās personas vārds, uzvārds)</w:t>
            </w:r>
          </w:p>
        </w:tc>
      </w:tr>
      <w:tr w:rsidR="007F06D0" w:rsidTr="005040A3">
        <w:trPr>
          <w:jc w:val="center"/>
        </w:trPr>
        <w:tc>
          <w:tcPr>
            <w:tcW w:w="3818" w:type="dxa"/>
            <w:tcBorders>
              <w:bottom w:val="single" w:sz="4" w:space="0" w:color="auto"/>
            </w:tcBorders>
            <w:shd w:val="clear" w:color="auto" w:fill="auto"/>
          </w:tcPr>
          <w:p w:rsidR="00B42A8D" w:rsidRPr="005040A3" w:rsidRDefault="00B36234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18.03.2022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Reģ. Nr.</w:t>
            </w:r>
            <w:r w:rsidR="00734291">
              <w:rPr>
                <w:rFonts w:ascii="Times New Roman" w:hAnsi="Times New Roman"/>
                <w:color w:val="000000"/>
                <w:sz w:val="24"/>
                <w:szCs w:val="24"/>
              </w:rPr>
              <w:t>40900014455</w:t>
            </w:r>
          </w:p>
        </w:tc>
      </w:tr>
      <w:tr w:rsidR="007F06D0" w:rsidTr="005040A3">
        <w:trPr>
          <w:jc w:val="center"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RDefault="00B36234" w:rsidP="005040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7F06D0" w:rsidTr="00C3455D">
        <w:trPr>
          <w:jc w:val="center"/>
        </w:trPr>
        <w:tc>
          <w:tcPr>
            <w:tcW w:w="3818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„Kazdangas pamatskola”, Kazdanga, </w:t>
            </w:r>
          </w:p>
        </w:tc>
      </w:tr>
      <w:tr w:rsidR="007F06D0" w:rsidTr="00C3455D">
        <w:trPr>
          <w:jc w:val="center"/>
        </w:trPr>
        <w:tc>
          <w:tcPr>
            <w:tcW w:w="3818" w:type="dxa"/>
            <w:shd w:val="clear" w:color="auto" w:fill="auto"/>
          </w:tcPr>
          <w:p w:rsidR="00734291" w:rsidRPr="005D1C44" w:rsidRDefault="00734291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:rsidR="00734291" w:rsidRPr="005D1C44" w:rsidRDefault="00734291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98" w:type="dxa"/>
            <w:tcBorders>
              <w:bottom w:val="single" w:sz="4" w:space="0" w:color="000000"/>
            </w:tcBorders>
            <w:shd w:val="clear" w:color="auto" w:fill="auto"/>
          </w:tcPr>
          <w:p w:rsidR="00734291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Dienvidkurzemes novads</w:t>
            </w:r>
          </w:p>
        </w:tc>
      </w:tr>
      <w:tr w:rsidR="007F06D0" w:rsidTr="00C3455D">
        <w:trPr>
          <w:jc w:val="center"/>
        </w:trPr>
        <w:tc>
          <w:tcPr>
            <w:tcW w:w="3818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80" w:type="dxa"/>
            <w:shd w:val="clear" w:color="auto" w:fill="auto"/>
          </w:tcPr>
          <w:p w:rsidR="00B42A8D" w:rsidRPr="005D1C44" w:rsidRDefault="00B42A8D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B36234" w:rsidP="00B42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22/12-3.1/162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6423"/>
      </w:tblGrid>
      <w:tr w:rsidR="007F06D0" w:rsidTr="00360235"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B36234" w:rsidP="003A7A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  <w:r w:rsidR="00FA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.gada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18</w:t>
            </w:r>
            <w:r w:rsidR="00FA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A7A4F">
              <w:rPr>
                <w:rFonts w:ascii="Times New Roman" w:hAnsi="Times New Roman"/>
                <w:color w:val="000000"/>
                <w:sz w:val="24"/>
                <w:szCs w:val="24"/>
              </w:rPr>
              <w:t>martā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FA4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RDefault="00B36234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–VUGD)</w:t>
            </w:r>
          </w:p>
        </w:tc>
      </w:tr>
      <w:tr w:rsidR="007F06D0" w:rsidTr="00360235"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B36234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RDefault="00360235" w:rsidP="004D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:rsidR="007F06D0" w:rsidTr="00360235"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brigādes Liepājas 1.daļas inspektore leitnante Ieva Kārkliņa</w:t>
            </w:r>
          </w:p>
        </w:tc>
      </w:tr>
      <w:tr w:rsidR="007F06D0" w:rsidTr="00BC44EC"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(amatpersonas 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>(-u) amats, speciālā dienesta pakāpe, vārds, uzvārds)</w:t>
            </w:r>
          </w:p>
        </w:tc>
      </w:tr>
      <w:tr w:rsidR="007F06D0" w:rsidTr="00360235"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:rsidR="00BC44EC" w:rsidRPr="00E25594" w:rsidRDefault="00B36234" w:rsidP="00C345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FA40FD" w:rsidRPr="00324C14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Māteru Jura Kazdangas pamatskolas direktorei Aijai Dreimanei</w:t>
            </w:r>
          </w:p>
        </w:tc>
      </w:tr>
      <w:tr w:rsidR="007F06D0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B36234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atbildīgās personas amats, vārds, uzvārds)</w:t>
            </w:r>
          </w:p>
        </w:tc>
      </w:tr>
      <w:tr w:rsidR="007F06D0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CC2C4D" w:rsidRDefault="00B36234" w:rsidP="007342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veica </w:t>
            </w:r>
            <w:r w:rsidR="00734291">
              <w:rPr>
                <w:rFonts w:ascii="Times New Roman" w:hAnsi="Times New Roman"/>
                <w:bCs/>
                <w:sz w:val="24"/>
                <w:szCs w:val="24"/>
              </w:rPr>
              <w:t xml:space="preserve">Māteru Jura Kazdangas pamatskolas „Kazdangas pamatskola”, Kazdangā, </w:t>
            </w:r>
          </w:p>
        </w:tc>
      </w:tr>
      <w:tr w:rsidR="007F06D0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291" w:rsidRDefault="00B36234" w:rsidP="007342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Dienvidkurzemes novadā</w:t>
            </w:r>
          </w:p>
        </w:tc>
      </w:tr>
      <w:tr w:rsidR="007F06D0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:rsidR="007F06D0" w:rsidTr="00360235"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7C5992" w:rsidRDefault="00B36234" w:rsidP="00734291">
            <w:pPr>
              <w:snapToGrid w:val="0"/>
              <w:spacing w:after="0" w:line="240" w:lineRule="auto"/>
              <w:ind w:left="33" w:right="-108" w:hanging="12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plānoto </w:t>
            </w:r>
            <w:r w:rsidR="00FA40FD"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ugunsdrošības pārbaudi un civilās aizsardzības prasību ievērošanas kontroli</w:t>
            </w:r>
            <w:r w:rsidR="00FA40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F06D0" w:rsidTr="00BC44EC"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7C5992" w:rsidRDefault="00B36234" w:rsidP="001C201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                                                                     </w:t>
            </w: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(ugunsdrošības pārbaudes veids: plānotā, </w:t>
            </w: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neplānotā)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B36234" w:rsidP="00BC44EC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859"/>
        <w:gridCol w:w="4633"/>
        <w:gridCol w:w="1029"/>
        <w:gridCol w:w="1701"/>
        <w:gridCol w:w="286"/>
        <w:gridCol w:w="1459"/>
      </w:tblGrid>
      <w:tr w:rsidR="007F06D0" w:rsidTr="00D317DC">
        <w:trPr>
          <w:cantSplit/>
          <w:trHeight w:val="486"/>
          <w:jc w:val="center"/>
        </w:trPr>
        <w:tc>
          <w:tcPr>
            <w:tcW w:w="9967" w:type="dxa"/>
            <w:gridSpan w:val="6"/>
            <w:shd w:val="clear" w:color="auto" w:fill="auto"/>
            <w:vAlign w:val="bottom"/>
          </w:tcPr>
          <w:p w:rsidR="00BC44EC" w:rsidRPr="005D1C44" w:rsidRDefault="00B36234" w:rsidP="00BC44E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:rsidR="007F06D0" w:rsidTr="00D317DC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RDefault="00B36234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B36234" w:rsidP="00A64383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B36234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RDefault="00B36234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RDefault="00B36234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:rsidR="007F06D0" w:rsidTr="00D317DC">
        <w:trPr>
          <w:cantSplit/>
          <w:tblHeader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B36234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7F06D0" w:rsidTr="00D317DC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C4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F9211B" w:rsidRDefault="00B36234" w:rsidP="00DF77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VUGD KRB Liepājas 1.daļas 2018.gada 17.decembra Pārbaudes akts Nr. 22/12.1-3.1/697.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074B6E" w:rsidRDefault="00B36234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4EC" w:rsidRPr="00074B6E" w:rsidRDefault="00B36234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Nav.</w:t>
            </w:r>
          </w:p>
        </w:tc>
      </w:tr>
      <w:tr w:rsidR="007F06D0" w:rsidTr="00D317DC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95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B95" w:rsidRDefault="00B36234" w:rsidP="00DF774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VUGD KRB Liepājas 1.daļas 2019.gada 23.maija Pārbaudes akts Nr. 22/12.1-3.1/191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B95" w:rsidRDefault="00B36234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Nav.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B95" w:rsidRDefault="00B36234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</w:tr>
      <w:tr w:rsidR="007F06D0" w:rsidTr="00D317DC">
        <w:trPr>
          <w:cantSplit/>
          <w:jc w:val="center"/>
        </w:trPr>
        <w:tc>
          <w:tcPr>
            <w:tcW w:w="9967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C44EC" w:rsidRPr="005D1C44" w:rsidRDefault="00BC44EC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EC" w:rsidRPr="005D1C44" w:rsidRDefault="00B36234" w:rsidP="00C3455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Konstatēti šādi ugunsdrošības prasību pārkāpumi: </w:t>
            </w:r>
          </w:p>
        </w:tc>
      </w:tr>
      <w:tr w:rsidR="007F06D0" w:rsidTr="00D317DC">
        <w:trPr>
          <w:cantSplit/>
          <w:jc w:val="center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RDefault="00B36234" w:rsidP="00C3455D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C44EC" w:rsidRPr="005D1C44" w:rsidRDefault="00B36234" w:rsidP="00C3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:rsidR="007F06D0" w:rsidTr="00D317DC">
        <w:trPr>
          <w:cantSplit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1C2010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RDefault="00B36234" w:rsidP="00C3455D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1C2010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7F06D0" w:rsidTr="00B82D1A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D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B81DD6" w:rsidRDefault="00B36234" w:rsidP="00B82D1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DD6">
              <w:rPr>
                <w:rFonts w:ascii="Times New Roman" w:hAnsi="Times New Roman"/>
                <w:sz w:val="24"/>
                <w:szCs w:val="24"/>
              </w:rPr>
              <w:t xml:space="preserve">Objektā </w:t>
            </w:r>
            <w:r w:rsidR="00B81DD6">
              <w:rPr>
                <w:rFonts w:ascii="Times New Roman" w:hAnsi="Times New Roman"/>
                <w:sz w:val="24"/>
                <w:szCs w:val="24"/>
              </w:rPr>
              <w:t>katlu mājā</w:t>
            </w:r>
            <w:r w:rsidR="00B81DD6" w:rsidRPr="00B81DD6">
              <w:rPr>
                <w:rFonts w:ascii="Times New Roman" w:hAnsi="Times New Roman"/>
                <w:sz w:val="24"/>
                <w:szCs w:val="24"/>
              </w:rPr>
              <w:t>,</w:t>
            </w:r>
            <w:r w:rsidRPr="00B81DD6">
              <w:rPr>
                <w:rFonts w:ascii="Times New Roman" w:hAnsi="Times New Roman"/>
                <w:sz w:val="24"/>
                <w:szCs w:val="24"/>
              </w:rPr>
              <w:t xml:space="preserve"> durvis, kas atdala kāpņu telpu no citas nozīmes telpas nav aprīkotas ar pašaizveres mehānismiem un noblīvētām piedurlīstēm.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B81DD6" w:rsidRDefault="00B36234" w:rsidP="00B81D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36F9">
              <w:rPr>
                <w:rFonts w:ascii="Times New Roman" w:hAnsi="Times New Roman"/>
                <w:sz w:val="24"/>
                <w:szCs w:val="24"/>
              </w:rPr>
              <w:t xml:space="preserve">Ministru kabineta 2016.gada 19.aprīļa noteikumi Nr.238 „Ugunsdrošības noteikumi” (turpmāk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Ugunsdrošības noteikumi) 19.punkts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B81DD6" w:rsidRDefault="00B36234" w:rsidP="00B81D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elektroinstalācija netiek uzturēta darba kārtībā, bet tieši, nav novērstas neatbilstības, kas norādītas elektroinstalācijas izolācijas pretestības mērījumu rezultātu pārbaudes aktā un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neatbilstības, ka norādītas elektroinstalāciju kontaktsavienojumu pārbaudes aktā.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B81DD6" w:rsidRDefault="00B36234" w:rsidP="00D542C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54.punkts.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B81DD6" w:rsidRDefault="00B36234" w:rsidP="00B81D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Objektam nav veikti elektroinstalācijas mērījumi pilnā apjomā, bet tieši, cilpas „fāze-nulle” pilnas pretestības mērījumi.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B81DD6" w:rsidRDefault="00B36234" w:rsidP="00D542C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57.punkts.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C7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7" w:rsidRDefault="00B36234" w:rsidP="00B81D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Objektā katlu mājā uz apkures iekārtas novietoti degtspējīgi priekšmeti.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C7" w:rsidRDefault="00B36234" w:rsidP="00D542C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89.4.apakšpunkts.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BC7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F6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F6" w:rsidRDefault="00B36234" w:rsidP="00B81DD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pie ugunsdzēsības ūdensvada krāna Nr.2 novietoti priekšmeti (puķu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podi) tuvāk par 1 metru.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F6" w:rsidRDefault="00B36234" w:rsidP="00DA0F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109.2.apakšpunkts.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68F6" w:rsidRPr="00B81DD6" w:rsidRDefault="00B36234" w:rsidP="00C345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01.06.2022.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DC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uz ugunsdzēsības </w:t>
            </w:r>
            <w:r w:rsidR="00DA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ūdensvada sistēmas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krāna skapja durvīm maldinoši norādīts ārkārtas izsaukuma nr. „01”.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Ugunsdrošības noteikumu </w:t>
            </w:r>
            <w:r w:rsidR="004D083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DC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uz ugunsdzēsības </w:t>
            </w:r>
            <w:r w:rsidR="00DA0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ūdensvada sistēmas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krāna skapja durvīm Ugunsdrošības noteikumu 4.4.zīme neatbilst Ugunsdrošības noteikumu 1.pielikuma prasībām.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Ugunsdrošības noteikumu </w:t>
            </w:r>
            <w:r w:rsidR="004D083D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DC" w:rsidRPr="00B81DD6" w:rsidRDefault="00B36234" w:rsidP="004D08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Objektā netiek uzglabāta automātiskās ugunsaizsardzības sistēmas </w:t>
            </w:r>
            <w:r w:rsidR="004D083D">
              <w:rPr>
                <w:rFonts w:ascii="Times New Roman" w:hAnsi="Times New Roman"/>
                <w:color w:val="000000"/>
                <w:sz w:val="24"/>
                <w:szCs w:val="24"/>
              </w:rPr>
              <w:t>(turpmāk – AUATSS)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būvniecības ieceres dokumentācija vai tās apliecināta kopija.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122.punkts.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DC" w:rsidRPr="00B81DD6" w:rsidRDefault="00B36234" w:rsidP="004D083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</w:t>
            </w:r>
            <w:r w:rsidR="004D083D">
              <w:rPr>
                <w:rFonts w:ascii="Times New Roman" w:hAnsi="Times New Roman"/>
                <w:sz w:val="24"/>
                <w:szCs w:val="24"/>
              </w:rPr>
              <w:t>AUATSS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manuālās tālvadības iedarbināšanas ierīces nav nodrošinātas ar  Ugunsdrošības noteikumu 1.pielikuma 4.6.zīmi.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136.punkts.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C7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7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Objekta ugunsdrošības instrukcija neatbilst Ugunsdrošību noteikumu 180.punktā minētajām </w:t>
            </w:r>
            <w:r>
              <w:rPr>
                <w:rFonts w:ascii="Times New Roman" w:hAnsi="Times New Roman"/>
                <w:sz w:val="24"/>
                <w:szCs w:val="24"/>
              </w:rPr>
              <w:t>prasībām.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C7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Ugunsdrošības noteikumu 180.punkts.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BC7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C7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BC7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Objektā nav organizētas praktiskās nodarbības saskaņā ar ugunsdrošības instrukcijas sadaļu „Rīcības ugunsgrēka gadījumā”.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BC7" w:rsidRDefault="00B36234" w:rsidP="00F15BC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Ugunsdrošības noteikumu 192.punkts.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5BC7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01.06.2022.</w:t>
            </w:r>
          </w:p>
        </w:tc>
      </w:tr>
      <w:tr w:rsidR="007F06D0" w:rsidTr="00DA0FA4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DC" w:rsidRPr="00B81DD6" w:rsidRDefault="00B36234" w:rsidP="00DA0F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trīs no četrām evakuācijai paredzētajām durvīm ir slēgtas un nav viegli atveramas no telpas iekšpuses (ne ilgāk par trīs sekundēm). 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A0F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243.punkts.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01.06.2022.</w:t>
            </w:r>
          </w:p>
        </w:tc>
      </w:tr>
      <w:tr w:rsidR="007F06D0" w:rsidTr="00DA0FA4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Objektā evakuācijas izeja no spora zāles nav apzīmēta ar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5.4.zīmi ”Evakuācijas izeja” atbilstoši Ugunsdrošības noteikumu 1.pielikumam.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A0FA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noteikumu 244.punkts.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Objektā ugunsdzēsības aprātiem nav veikta tehniskā stāvokļa vizuālā apskate.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Ugunsdrošības noteikumu 268.punkts.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7DC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  <w:tr w:rsidR="007F06D0" w:rsidTr="00D317DC">
        <w:trPr>
          <w:cantSplit/>
          <w:trHeight w:val="28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7EE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EE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Objektā aktu zālē degtspējīgs transformējums (pārvietojams) skatuves noformējums un skatuves dekorācijas nav apstrādātas ar ugunsaizsaglīdzekļiem.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EE" w:rsidRDefault="00B36234" w:rsidP="00D317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Ugunsdrošības noteikumu 335.punkts.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67EE" w:rsidRPr="00B81DD6" w:rsidRDefault="00B36234" w:rsidP="00D317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01.03.2023.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B3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D1C44">
        <w:rPr>
          <w:rFonts w:ascii="Times New Roman" w:hAnsi="Times New Roman"/>
          <w:b/>
          <w:color w:val="000000"/>
          <w:sz w:val="24"/>
          <w:szCs w:val="24"/>
        </w:rPr>
        <w:t>. Objekta atbildīgās personas viedoklis un argumenti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9967"/>
      </w:tblGrid>
      <w:tr w:rsidR="007F06D0" w:rsidTr="00F15BC7">
        <w:trPr>
          <w:cantSplit/>
          <w:jc w:val="center"/>
        </w:trPr>
        <w:tc>
          <w:tcPr>
            <w:tcW w:w="9656" w:type="dxa"/>
            <w:shd w:val="clear" w:color="auto" w:fill="auto"/>
          </w:tcPr>
          <w:p w:rsidR="00BC44EC" w:rsidRPr="005D1C44" w:rsidRDefault="00BC44EC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D0" w:rsidTr="00C3455D"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F15BC7" w:rsidRPr="005D1C44" w:rsidRDefault="00F15BC7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D0" w:rsidTr="00C3455D"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F15BC7" w:rsidRPr="005D1C44" w:rsidRDefault="00F15BC7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D0" w:rsidTr="00C3455D"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F15BC7" w:rsidRPr="005D1C44" w:rsidRDefault="00F15BC7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D0" w:rsidTr="00C3455D"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F15BC7" w:rsidRPr="005D1C44" w:rsidRDefault="00F15BC7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D0" w:rsidTr="00C3455D">
        <w:trPr>
          <w:cantSplit/>
          <w:jc w:val="center"/>
        </w:trPr>
        <w:tc>
          <w:tcPr>
            <w:tcW w:w="9656" w:type="dxa"/>
            <w:tcBorders>
              <w:bottom w:val="single" w:sz="4" w:space="0" w:color="auto"/>
            </w:tcBorders>
            <w:shd w:val="clear" w:color="auto" w:fill="auto"/>
          </w:tcPr>
          <w:p w:rsidR="00F15BC7" w:rsidRPr="005D1C44" w:rsidRDefault="00F15BC7" w:rsidP="00C3455D">
            <w:pPr>
              <w:snapToGrid w:val="0"/>
              <w:spacing w:after="0" w:line="240" w:lineRule="auto"/>
              <w:ind w:left="516" w:hanging="32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9689"/>
      </w:tblGrid>
      <w:tr w:rsidR="007F06D0" w:rsidTr="00C3455D">
        <w:trPr>
          <w:cantSplit/>
          <w:trHeight w:val="793"/>
          <w:jc w:val="center"/>
        </w:trPr>
        <w:tc>
          <w:tcPr>
            <w:tcW w:w="9689" w:type="dxa"/>
            <w:shd w:val="clear" w:color="auto" w:fill="auto"/>
          </w:tcPr>
          <w:p w:rsidR="00BC44EC" w:rsidRPr="005D1C44" w:rsidRDefault="00B36234" w:rsidP="00A64383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10.panta otrās daļas 2.punktu, kā arī uzklausot objekta atbildīgās personas viedokli un argumentus,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uzdots konstatētos pārkāpumus novērst norādītajā termiņā.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RDefault="00B36234" w:rsidP="00BC4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b/>
          <w:color w:val="000000"/>
          <w:sz w:val="24"/>
          <w:szCs w:val="24"/>
        </w:rPr>
        <w:t>Brīdinājums par pārbaudes akta piespiedu izpildi</w:t>
      </w: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9689"/>
      </w:tblGrid>
      <w:tr w:rsidR="007F06D0" w:rsidTr="00AE28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B36234" w:rsidP="00E3134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VUGD </w:t>
            </w:r>
            <w:r w:rsidR="00E31344">
              <w:rPr>
                <w:rFonts w:ascii="Times New Roman" w:hAnsi="Times New Roman"/>
                <w:color w:val="000000"/>
                <w:sz w:val="24"/>
                <w:szCs w:val="24"/>
              </w:rPr>
              <w:t>Kurzemes reģiona brigāde</w:t>
            </w:r>
            <w:r w:rsidR="00807D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aicina adresātu labprātīgi izpildīt pārbaudes </w:t>
            </w:r>
            <w:r w:rsidR="00807DE3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aktu,</w:t>
            </w:r>
            <w:r w:rsidR="00512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298E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novēršot</w:t>
            </w:r>
          </w:p>
        </w:tc>
      </w:tr>
      <w:tr w:rsidR="007F06D0" w:rsidTr="00F93BFD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AB56F3" w:rsidRPr="005D1C44" w:rsidRDefault="00B36234" w:rsidP="0051298E">
            <w:pPr>
              <w:tabs>
                <w:tab w:val="left" w:pos="560"/>
              </w:tabs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  <w:tr w:rsidR="007F06D0" w:rsidTr="00AE28BC">
        <w:trPr>
          <w:cantSplit/>
          <w:trHeight w:val="313"/>
          <w:jc w:val="center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13C5" w:rsidRPr="005D1C44" w:rsidRDefault="00B36234" w:rsidP="00C3455D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konstatētos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pārkāpumus noteiktajā termiņā.</w:t>
            </w:r>
          </w:p>
        </w:tc>
      </w:tr>
      <w:tr w:rsidR="007F06D0" w:rsidTr="00AE28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B36234" w:rsidP="00E31344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VUGD </w:t>
            </w:r>
            <w:r w:rsidR="00E31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Kurzemes reģiona brigāde</w:t>
            </w:r>
            <w:r w:rsidR="00AB5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AB56F3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brīdina, ja adresāts nebūs labprātīgi</w:t>
            </w:r>
            <w:r w:rsidR="0051298E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izpildījis</w:t>
            </w:r>
          </w:p>
        </w:tc>
      </w:tr>
      <w:tr w:rsidR="007F06D0" w:rsidTr="00FA166D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807DE3" w:rsidRPr="005D1C44" w:rsidRDefault="00B36234" w:rsidP="0051298E">
            <w:pPr>
              <w:tabs>
                <w:tab w:val="left" w:pos="560"/>
              </w:tabs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  <w:tr w:rsidR="007F06D0" w:rsidTr="00AE28BC">
        <w:trPr>
          <w:cantSplit/>
          <w:trHeight w:val="313"/>
          <w:jc w:val="center"/>
        </w:trPr>
        <w:tc>
          <w:tcPr>
            <w:tcW w:w="9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13C5" w:rsidRPr="009413C5" w:rsidRDefault="00B36234" w:rsidP="00AE28BC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pārbaudes aktu (novērsis konstatētos pārkāpumus noteiktajā termiņā)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</w:p>
        </w:tc>
      </w:tr>
      <w:tr w:rsidR="007F06D0" w:rsidTr="00AE28BC">
        <w:trPr>
          <w:cantSplit/>
          <w:trHeight w:val="313"/>
          <w:jc w:val="center"/>
        </w:trPr>
        <w:tc>
          <w:tcPr>
            <w:tcW w:w="9689" w:type="dxa"/>
            <w:shd w:val="clear" w:color="auto" w:fill="auto"/>
            <w:vAlign w:val="bottom"/>
          </w:tcPr>
          <w:p w:rsidR="009413C5" w:rsidRPr="009413C5" w:rsidRDefault="00B36234" w:rsidP="0051298E">
            <w:pPr>
              <w:tabs>
                <w:tab w:val="left" w:pos="56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VUGD </w:t>
            </w:r>
            <w:r w:rsidR="00E313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Kurzemes reģiona brigāde </w:t>
            </w:r>
            <w:r w:rsidR="00AB56F3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var uzsākt pārbaudes akta izpildi</w:t>
            </w:r>
            <w:r w:rsidR="0051298E" w:rsidRPr="009413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piespiedu kārtā</w:t>
            </w:r>
            <w:r w:rsidR="00512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F06D0" w:rsidTr="00C274A9">
        <w:trPr>
          <w:cantSplit/>
          <w:trHeight w:val="94"/>
          <w:jc w:val="center"/>
        </w:trPr>
        <w:tc>
          <w:tcPr>
            <w:tcW w:w="9689" w:type="dxa"/>
            <w:tcBorders>
              <w:top w:val="single" w:sz="4" w:space="0" w:color="auto"/>
            </w:tcBorders>
            <w:shd w:val="clear" w:color="auto" w:fill="auto"/>
          </w:tcPr>
          <w:p w:rsidR="00807DE3" w:rsidRPr="00AE28BC" w:rsidRDefault="00B36234" w:rsidP="0051298E">
            <w:pPr>
              <w:spacing w:after="0" w:line="240" w:lineRule="auto"/>
              <w:ind w:left="60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E28BC">
              <w:rPr>
                <w:rFonts w:ascii="Times New Roman" w:hAnsi="Times New Roman"/>
                <w:color w:val="000000"/>
                <w:sz w:val="16"/>
                <w:szCs w:val="16"/>
              </w:rPr>
              <w:t>(struktūrvienības vai tās daļas nosaukums)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1006"/>
        <w:gridCol w:w="2422"/>
        <w:gridCol w:w="1636"/>
        <w:gridCol w:w="2160"/>
        <w:gridCol w:w="2465"/>
      </w:tblGrid>
      <w:tr w:rsidR="007F06D0" w:rsidTr="00C3455D">
        <w:trPr>
          <w:cantSplit/>
          <w:trHeight w:val="31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413C5" w:rsidRPr="005D1C44" w:rsidRDefault="00B36234" w:rsidP="00115338">
            <w:pPr>
              <w:spacing w:after="12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Piespiedu izpilde var tikt uzsākta nākamajā darbdienā pēc pēdējā labprātīgai izpildei noteiktā termiņa beigām. Par pārbaudes akta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piespiedu izpildes līdzekli tiks izvēlēta piespiedu nauda. Pārbaudes akta piespiedu izpildes izmaksas tiks uzliktas adresātam.</w:t>
            </w:r>
          </w:p>
        </w:tc>
      </w:tr>
      <w:tr w:rsidR="007F06D0" w:rsidTr="00C3455D">
        <w:trPr>
          <w:cantSplit/>
          <w:trHeight w:val="457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9413C5" w:rsidRPr="005D1C44" w:rsidRDefault="00B36234" w:rsidP="00186389">
            <w:pPr>
              <w:spacing w:after="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 nepiekrītat konstatētajiem pārkāpumiem, Jums ir tiesības šo pārbaudes aktu apstrīdēt viena mēneša laikā no tā spēkā stāšanās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dienas</w:t>
            </w:r>
            <w:r w:rsidR="001863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augstākstāvošai amatpersonai:</w:t>
            </w:r>
          </w:p>
        </w:tc>
      </w:tr>
      <w:tr w:rsidR="007F06D0" w:rsidTr="009D27A1">
        <w:trPr>
          <w:cantSplit/>
          <w:trHeight w:val="354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EE6691" w:rsidRDefault="00B36234" w:rsidP="009D27A1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9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VUGD Kurzemes </w:t>
            </w:r>
            <w:r w:rsidR="00D2477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reģiona </w:t>
            </w:r>
            <w:r w:rsidRPr="00EE6691">
              <w:rPr>
                <w:rFonts w:ascii="Times New Roman" w:hAnsi="Times New Roman"/>
                <w:color w:val="000000"/>
                <w:sz w:val="24"/>
                <w:szCs w:val="28"/>
              </w:rPr>
              <w:t>brigādes komandierim, Ganību ielā 63/67, Liepājā, LV-3401</w:t>
            </w:r>
            <w:r w:rsidRPr="00EE6691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7F06D0" w:rsidTr="00403D6C">
        <w:trPr>
          <w:cantSplit/>
          <w:trHeight w:val="326"/>
          <w:jc w:val="center"/>
        </w:trPr>
        <w:tc>
          <w:tcPr>
            <w:tcW w:w="968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D27A1" w:rsidRPr="005D1C44" w:rsidRDefault="00B36234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(amatpersonas amats un adrese)</w:t>
            </w:r>
          </w:p>
        </w:tc>
      </w:tr>
      <w:tr w:rsidR="007F06D0" w:rsidTr="00403D6C">
        <w:trPr>
          <w:cantSplit/>
          <w:trHeight w:val="412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F15BC7" w:rsidRDefault="00F15BC7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BC7" w:rsidRDefault="00F15BC7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BC7" w:rsidRDefault="00F15BC7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BC7" w:rsidRDefault="00F15BC7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0FD" w:rsidRDefault="00FA40FD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0FD" w:rsidRDefault="00FA40FD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0FD" w:rsidRDefault="00FA40FD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40FD" w:rsidRDefault="00FA40FD" w:rsidP="009D27A1">
            <w:pPr>
              <w:snapToGrid w:val="0"/>
              <w:spacing w:after="0" w:line="240" w:lineRule="auto"/>
              <w:ind w:right="-85" w:firstLine="60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RPr="005D1C44" w:rsidRDefault="009D27A1" w:rsidP="00F15BC7">
            <w:pPr>
              <w:snapToGrid w:val="0"/>
              <w:spacing w:after="0" w:line="240" w:lineRule="auto"/>
              <w:ind w:right="-85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F06D0" w:rsidTr="00AE28BC"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Default="00B36234" w:rsidP="009D27A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Pārbaudi veica:</w:t>
            </w:r>
          </w:p>
          <w:p w:rsidR="00F15BC7" w:rsidRDefault="00F15BC7" w:rsidP="009D27A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BC7" w:rsidRDefault="00F15BC7" w:rsidP="009D27A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5BC7" w:rsidRPr="005D1C44" w:rsidRDefault="00B36234" w:rsidP="009D27A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Ieva Kārkliņa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RDefault="00B36234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</w:tr>
      <w:tr w:rsidR="007F06D0" w:rsidTr="00C3455D">
        <w:trPr>
          <w:trHeight w:val="350"/>
          <w:jc w:val="center"/>
        </w:trPr>
        <w:tc>
          <w:tcPr>
            <w:tcW w:w="506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9D27A1" w:rsidRPr="005D1C44" w:rsidRDefault="00B36234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RDefault="009D27A1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RPr="005D1C44" w:rsidRDefault="00B36234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:rsidR="007F06D0" w:rsidTr="00AE28BC">
        <w:trPr>
          <w:cantSplit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Default="009D27A1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2D1A" w:rsidRPr="005D1C44" w:rsidRDefault="00B82D1A" w:rsidP="009D27A1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D0" w:rsidTr="00C3455D"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RDefault="00B36234" w:rsidP="009D27A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:rsidR="007F06D0" w:rsidTr="00C3455D"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RDefault="009D27A1" w:rsidP="009D27A1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9D27A1" w:rsidRPr="005D1C44" w:rsidRDefault="009D27A1" w:rsidP="009D27A1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RDefault="009D27A1" w:rsidP="009D27A1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6D0" w:rsidTr="009663EA">
        <w:trPr>
          <w:gridAfter w:val="3"/>
          <w:wAfter w:w="6261" w:type="dxa"/>
          <w:trHeight w:val="305"/>
          <w:jc w:val="center"/>
        </w:trPr>
        <w:tc>
          <w:tcPr>
            <w:tcW w:w="1006" w:type="dxa"/>
            <w:shd w:val="clear" w:color="auto" w:fill="auto"/>
          </w:tcPr>
          <w:p w:rsidR="00B82D1A" w:rsidRPr="005D1C44" w:rsidRDefault="00B36234" w:rsidP="009663EA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B82D1A" w:rsidRPr="005D1C44" w:rsidRDefault="00B36234" w:rsidP="009663EA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</w:tr>
    </w:tbl>
    <w:p w:rsidR="002972AA" w:rsidRPr="00B42A8D" w:rsidRDefault="002972AA">
      <w:pPr>
        <w:rPr>
          <w:rFonts w:ascii="Times New Roman" w:hAnsi="Times New Roman" w:cs="Times New Roman"/>
          <w:sz w:val="24"/>
          <w:szCs w:val="24"/>
        </w:rPr>
      </w:pPr>
    </w:p>
    <w:p w:rsidR="00C5509D" w:rsidRDefault="00C5509D" w:rsidP="00C5509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509D" w:rsidRPr="005D1C44" w:rsidRDefault="00B36234" w:rsidP="00C5509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 xml:space="preserve">DOKUMENTS PARAKSTĪTS AR DROŠU ELEKTRONISKO PARAKSTU UN SATUR </w:t>
      </w:r>
    </w:p>
    <w:p w:rsidR="00C5509D" w:rsidRPr="005D1C44" w:rsidRDefault="00B36234" w:rsidP="00C5509D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1C44">
        <w:rPr>
          <w:rFonts w:ascii="Times New Roman" w:eastAsia="Times New Roman" w:hAnsi="Times New Roman"/>
          <w:color w:val="000000"/>
          <w:sz w:val="24"/>
          <w:szCs w:val="24"/>
        </w:rPr>
        <w:t>LAIKA ZĪMOGU</w:t>
      </w:r>
    </w:p>
    <w:sectPr w:rsidR="00C5509D" w:rsidRPr="005D1C44" w:rsidSect="00730C8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234" w:rsidRDefault="00B36234">
      <w:pPr>
        <w:spacing w:after="0" w:line="240" w:lineRule="auto"/>
      </w:pPr>
      <w:r>
        <w:separator/>
      </w:r>
    </w:p>
  </w:endnote>
  <w:endnote w:type="continuationSeparator" w:id="0">
    <w:p w:rsidR="00B36234" w:rsidRDefault="00B3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BC" w:rsidRPr="00AE28BC" w:rsidRDefault="00AE28BC" w:rsidP="00AE28BC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BC" w:rsidRPr="00AE28BC" w:rsidRDefault="00AE28BC" w:rsidP="00AE28BC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234" w:rsidRDefault="00B36234">
      <w:pPr>
        <w:spacing w:after="0" w:line="240" w:lineRule="auto"/>
      </w:pPr>
      <w:r>
        <w:separator/>
      </w:r>
    </w:p>
  </w:footnote>
  <w:footnote w:type="continuationSeparator" w:id="0">
    <w:p w:rsidR="00B36234" w:rsidRDefault="00B3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7586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RDefault="00B36234" w:rsidP="00AE28BC">
        <w:pPr>
          <w:pStyle w:val="Galvene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410A36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RDefault="00E262F2" w:rsidP="00AE28BC">
    <w:pPr>
      <w:pStyle w:val="Galve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8BC" w:rsidRPr="00AE28BC" w:rsidRDefault="00AE28BC" w:rsidP="00AE28BC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74B6E"/>
    <w:rsid w:val="00081804"/>
    <w:rsid w:val="00115338"/>
    <w:rsid w:val="001263A7"/>
    <w:rsid w:val="00186389"/>
    <w:rsid w:val="001A4B7E"/>
    <w:rsid w:val="001C2010"/>
    <w:rsid w:val="001D67EE"/>
    <w:rsid w:val="001F4E37"/>
    <w:rsid w:val="002972AA"/>
    <w:rsid w:val="002A02AD"/>
    <w:rsid w:val="002A1CBD"/>
    <w:rsid w:val="00324C14"/>
    <w:rsid w:val="00360235"/>
    <w:rsid w:val="003941F8"/>
    <w:rsid w:val="003A7A4F"/>
    <w:rsid w:val="003C0F48"/>
    <w:rsid w:val="00403D6C"/>
    <w:rsid w:val="00410A36"/>
    <w:rsid w:val="00423967"/>
    <w:rsid w:val="004D083D"/>
    <w:rsid w:val="004D7C64"/>
    <w:rsid w:val="004E4CE4"/>
    <w:rsid w:val="005040A3"/>
    <w:rsid w:val="0051298E"/>
    <w:rsid w:val="005A7D37"/>
    <w:rsid w:val="005C5F99"/>
    <w:rsid w:val="005D1C44"/>
    <w:rsid w:val="005D5F60"/>
    <w:rsid w:val="006534AF"/>
    <w:rsid w:val="0067759B"/>
    <w:rsid w:val="006B0D1E"/>
    <w:rsid w:val="00730C82"/>
    <w:rsid w:val="00734291"/>
    <w:rsid w:val="007539E3"/>
    <w:rsid w:val="007C5992"/>
    <w:rsid w:val="007F06D0"/>
    <w:rsid w:val="007F5914"/>
    <w:rsid w:val="00807DE3"/>
    <w:rsid w:val="008161A7"/>
    <w:rsid w:val="008A1A55"/>
    <w:rsid w:val="008F7E79"/>
    <w:rsid w:val="0091584F"/>
    <w:rsid w:val="00926B95"/>
    <w:rsid w:val="009413C5"/>
    <w:rsid w:val="009663EA"/>
    <w:rsid w:val="009707A1"/>
    <w:rsid w:val="009743DA"/>
    <w:rsid w:val="00994F78"/>
    <w:rsid w:val="009B196B"/>
    <w:rsid w:val="009D27A1"/>
    <w:rsid w:val="00A3474F"/>
    <w:rsid w:val="00A47DBC"/>
    <w:rsid w:val="00A64383"/>
    <w:rsid w:val="00AB56F3"/>
    <w:rsid w:val="00AD6B87"/>
    <w:rsid w:val="00AE28BC"/>
    <w:rsid w:val="00B106B0"/>
    <w:rsid w:val="00B36234"/>
    <w:rsid w:val="00B42A8D"/>
    <w:rsid w:val="00B81DD6"/>
    <w:rsid w:val="00B82D1A"/>
    <w:rsid w:val="00B8772B"/>
    <w:rsid w:val="00BB2DB2"/>
    <w:rsid w:val="00BB5A54"/>
    <w:rsid w:val="00BC44EC"/>
    <w:rsid w:val="00C3455D"/>
    <w:rsid w:val="00C5509D"/>
    <w:rsid w:val="00C647CE"/>
    <w:rsid w:val="00C959F6"/>
    <w:rsid w:val="00CC2C4D"/>
    <w:rsid w:val="00CC68F6"/>
    <w:rsid w:val="00CD67E7"/>
    <w:rsid w:val="00D24775"/>
    <w:rsid w:val="00D303D8"/>
    <w:rsid w:val="00D317DC"/>
    <w:rsid w:val="00D3463A"/>
    <w:rsid w:val="00D542CD"/>
    <w:rsid w:val="00D91669"/>
    <w:rsid w:val="00DA0FA4"/>
    <w:rsid w:val="00DE73A3"/>
    <w:rsid w:val="00DF5B55"/>
    <w:rsid w:val="00DF774F"/>
    <w:rsid w:val="00E25594"/>
    <w:rsid w:val="00E262F2"/>
    <w:rsid w:val="00E31344"/>
    <w:rsid w:val="00E46229"/>
    <w:rsid w:val="00E62195"/>
    <w:rsid w:val="00E936F9"/>
    <w:rsid w:val="00EE6691"/>
    <w:rsid w:val="00F15BC7"/>
    <w:rsid w:val="00F9211B"/>
    <w:rsid w:val="00F95F18"/>
    <w:rsid w:val="00FA40FD"/>
    <w:rsid w:val="00F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62F2"/>
  </w:style>
  <w:style w:type="paragraph" w:styleId="Kjene">
    <w:name w:val="footer"/>
    <w:basedOn w:val="Parasts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62F2"/>
  </w:style>
  <w:style w:type="table" w:styleId="Reatabula">
    <w:name w:val="Table Grid"/>
    <w:basedOn w:val="Parastatabula"/>
    <w:uiPriority w:val="39"/>
    <w:rsid w:val="00E26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A1CBD"/>
    <w:rPr>
      <w:rFonts w:ascii="Segoe UI" w:hAnsi="Segoe UI" w:cs="Segoe UI"/>
      <w:sz w:val="18"/>
      <w:szCs w:val="18"/>
    </w:rPr>
  </w:style>
  <w:style w:type="character" w:styleId="Hipersaite">
    <w:name w:val="Hyperlink"/>
    <w:uiPriority w:val="99"/>
    <w:unhideWhenUsed/>
    <w:rsid w:val="005A7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zeme@vugd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DB43-4F7F-4147-9BB6-65CE2712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4207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User</cp:lastModifiedBy>
  <cp:revision>2</cp:revision>
  <cp:lastPrinted>2022-03-18T12:50:00Z</cp:lastPrinted>
  <dcterms:created xsi:type="dcterms:W3CDTF">2022-06-13T10:19:00Z</dcterms:created>
  <dcterms:modified xsi:type="dcterms:W3CDTF">2022-06-13T10:19:00Z</dcterms:modified>
</cp:coreProperties>
</file>