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E227D8" w:rsidRPr="00E227D8" w:rsidP="00E227D8" w14:paraId="3F05F684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3F05F688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3F05F685" w14:textId="1D9CAA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3F05F68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3F05F687" w14:textId="1ED1E0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89">
              <w:rPr>
                <w:rFonts w:ascii="Times New Roman" w:hAnsi="Times New Roman"/>
                <w:sz w:val="24"/>
                <w:szCs w:val="24"/>
              </w:rPr>
              <w:t>Jūrmalas Sporta skola</w:t>
            </w:r>
          </w:p>
        </w:tc>
      </w:tr>
      <w:tr w14:paraId="3F05F68C" w14:textId="77777777" w:rsidTr="00C07822">
        <w:tblPrEx>
          <w:tblW w:w="9967" w:type="dxa"/>
          <w:jc w:val="center"/>
          <w:tblLayout w:type="fixed"/>
          <w:tblLook w:val="0000"/>
        </w:tblPrEx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3F05F689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8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3F05F68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3F05F690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3F05F68D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8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3F05F68F" w14:textId="2E9D3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89">
              <w:rPr>
                <w:rFonts w:ascii="Times New Roman" w:hAnsi="Times New Roman"/>
                <w:color w:val="000000"/>
                <w:sz w:val="24"/>
                <w:szCs w:val="24"/>
              </w:rPr>
              <w:t>Reģ. Nr. 90009249367</w:t>
            </w:r>
          </w:p>
        </w:tc>
      </w:tr>
      <w:tr w14:paraId="3F05F694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3F05F691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9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F05F693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3F05F698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3F05F69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9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3F05F697" w14:textId="42B4E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89">
              <w:rPr>
                <w:rFonts w:ascii="Times New Roman" w:hAnsi="Times New Roman"/>
                <w:color w:val="000000"/>
                <w:sz w:val="24"/>
                <w:szCs w:val="24"/>
              </w:rPr>
              <w:t>Nometņu iela 2b, Jūrmala, LV-2016</w:t>
            </w:r>
          </w:p>
        </w:tc>
      </w:tr>
      <w:tr w14:paraId="3F05F69C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3F05F69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9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F05F69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3F05F69D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3F05F69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/198</w:t>
      </w:r>
    </w:p>
    <w:p w:rsidR="00C959F6" w:rsidP="00070E23" w14:paraId="3F05F69F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3F05F6A0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9498"/>
      </w:tblGrid>
      <w:tr w14:paraId="309D4E9B" w14:textId="77777777" w:rsidTr="00E8548B">
        <w:tblPrEx>
          <w:tblW w:w="9924" w:type="dxa"/>
          <w:tblInd w:w="-4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6" w:type="dxa"/>
          </w:tcPr>
          <w:p w:rsidR="000B2889" w:rsidRPr="00E227D8" w:rsidP="00E8548B" w14:paraId="027B14C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0B2889" w:rsidRPr="00E227D8" w:rsidP="00E8548B" w14:paraId="46D9E7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68">
              <w:rPr>
                <w:rFonts w:ascii="Times New Roman" w:hAnsi="Times New Roman" w:cs="Times New Roman"/>
                <w:sz w:val="28"/>
              </w:rPr>
              <w:t>Apsekots: Jūrmalas Sporta skolas sporta zāle, ģērbtuves</w:t>
            </w:r>
          </w:p>
        </w:tc>
      </w:tr>
      <w:tr w14:paraId="563B776B" w14:textId="77777777" w:rsidTr="00E8548B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B2889" w:rsidRPr="00070E23" w:rsidP="00E8548B" w14:paraId="1DDD5937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B2889" w:rsidRPr="00070E23" w:rsidP="00E8548B" w14:paraId="4FB462B4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7ED81153" w14:textId="77777777" w:rsidTr="00E8548B">
        <w:tblPrEx>
          <w:tblW w:w="9924" w:type="dxa"/>
          <w:tblInd w:w="-426" w:type="dxa"/>
          <w:tblLayout w:type="fixed"/>
          <w:tblLook w:val="04A0"/>
        </w:tblPrEx>
        <w:trPr>
          <w:trHeight w:val="288"/>
        </w:trPr>
        <w:tc>
          <w:tcPr>
            <w:tcW w:w="426" w:type="dxa"/>
          </w:tcPr>
          <w:p w:rsidR="000B2889" w:rsidRPr="00E227D8" w:rsidP="00E8548B" w14:paraId="426130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0B2889" w:rsidRPr="00E227D8" w:rsidP="00E8548B" w14:paraId="258F20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68">
              <w:rPr>
                <w:rFonts w:ascii="Times New Roman" w:hAnsi="Times New Roman" w:cs="Times New Roman"/>
                <w:sz w:val="28"/>
              </w:rPr>
              <w:t xml:space="preserve">Adrese: </w:t>
            </w:r>
            <w:r w:rsidRPr="00A74168">
              <w:rPr>
                <w:rFonts w:ascii="Times New Roman" w:eastAsia="Times New Roman" w:hAnsi="Times New Roman"/>
                <w:sz w:val="28"/>
                <w:szCs w:val="24"/>
              </w:rPr>
              <w:t>Nometņu iela 2b, Jūrmalā, LV-2016 (turpmāk -  Objekts).</w:t>
            </w:r>
          </w:p>
        </w:tc>
      </w:tr>
      <w:tr w14:paraId="071097E3" w14:textId="77777777" w:rsidTr="00E8548B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B2889" w:rsidRPr="00070E23" w:rsidP="00E8548B" w14:paraId="421DA30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:rsidR="000B2889" w:rsidRPr="00070E23" w:rsidP="00E8548B" w14:paraId="0604F3F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62C2A82" w14:textId="77777777" w:rsidTr="00E8548B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B2889" w:rsidRPr="00E227D8" w:rsidP="00E8548B" w14:paraId="229F9F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0B2889" w:rsidRPr="00E227D8" w:rsidP="00E8548B" w14:paraId="60BDA3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68">
              <w:rPr>
                <w:rFonts w:ascii="Times New Roman" w:hAnsi="Times New Roman" w:cs="Times New Roman"/>
                <w:sz w:val="28"/>
                <w:u w:val="single"/>
              </w:rPr>
              <w:t xml:space="preserve">Īpašnieks (valdītājs): Jūrmalas Sporta skola , Reģistrācijas Nr.90009249367,  </w:t>
            </w:r>
            <w:r w:rsidRPr="00A74168">
              <w:rPr>
                <w:rFonts w:ascii="Times New Roman" w:hAnsi="Times New Roman" w:cs="Times New Roman"/>
                <w:sz w:val="28"/>
              </w:rPr>
              <w:t>Nometņu iela 2B,</w:t>
            </w:r>
            <w:r w:rsidRPr="00A74168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A74168">
              <w:rPr>
                <w:rFonts w:ascii="Times New Roman" w:hAnsi="Times New Roman" w:cs="Times New Roman"/>
                <w:sz w:val="28"/>
              </w:rPr>
              <w:t>Jūrmala, LV-2016.</w:t>
            </w:r>
          </w:p>
        </w:tc>
      </w:tr>
      <w:tr w14:paraId="3FB66837" w14:textId="77777777" w:rsidTr="00E8548B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B2889" w:rsidRPr="00070E23" w:rsidP="00E8548B" w14:paraId="4767A4C7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B2889" w:rsidRPr="00070E23" w:rsidP="00E8548B" w14:paraId="6E29412E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4ADB1F9F" w14:textId="77777777" w:rsidTr="00E8548B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B2889" w:rsidRPr="00E227D8" w:rsidP="00E8548B" w14:paraId="53C8CC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0B2889" w:rsidRPr="00A74168" w:rsidP="00E8548B" w14:paraId="59486F1A" w14:textId="777777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74168">
              <w:rPr>
                <w:rFonts w:ascii="Times New Roman" w:hAnsi="Times New Roman" w:cs="Times New Roman"/>
                <w:sz w:val="28"/>
              </w:rPr>
              <w:t xml:space="preserve">Iesniegtie dokumenti: Kaspara Božes 2022.gada 7. jūnija iesniegums b/n, Valsts </w:t>
            </w:r>
          </w:p>
        </w:tc>
      </w:tr>
      <w:tr w14:paraId="3BF8631E" w14:textId="77777777" w:rsidTr="00E8548B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B2889" w:rsidP="00E8548B" w14:paraId="5358F5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0B2889" w:rsidRPr="00A74168" w:rsidP="00E8548B" w14:paraId="16C26DBB" w14:textId="77777777">
            <w:pPr>
              <w:rPr>
                <w:rFonts w:ascii="Times New Roman" w:hAnsi="Times New Roman" w:cs="Times New Roman"/>
                <w:sz w:val="28"/>
              </w:rPr>
            </w:pPr>
            <w:r w:rsidRPr="00A74168">
              <w:rPr>
                <w:rFonts w:ascii="Times New Roman" w:hAnsi="Times New Roman" w:cs="Times New Roman"/>
                <w:sz w:val="28"/>
                <w:u w:val="single"/>
              </w:rPr>
              <w:t>ugunsdzēsības un glābšanas dienesta Rīgas reģiona pārvaldē reģistrēts 2022.gada</w:t>
            </w:r>
            <w:r w:rsidRPr="00A7416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E2B71">
              <w:rPr>
                <w:rFonts w:ascii="Times New Roman" w:hAnsi="Times New Roman" w:cs="Times New Roman"/>
                <w:sz w:val="28"/>
              </w:rPr>
              <w:t>10.maijā ar Nr.22/8-1.5.1/1229.</w:t>
            </w:r>
          </w:p>
        </w:tc>
      </w:tr>
      <w:tr w14:paraId="3A6DBCDE" w14:textId="77777777" w:rsidTr="00E8548B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B2889" w:rsidRPr="00E227D8" w:rsidP="00E8548B" w14:paraId="42FF5AF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0B2889" w:rsidRPr="00E227D8" w:rsidP="00E8548B" w14:paraId="595203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71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Apsekoto būvju, ēku vai telpu raksturojums: Jūrmalas Sporta skolas</w:t>
            </w:r>
            <w:r w:rsidRPr="00CE2B71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Pr="00CE2B71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sporta zāle un ģērbtuves, kas ir   nodrošinātas ar automātisko ugunsgrēka</w:t>
            </w:r>
            <w:r w:rsidRPr="00CE2B71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Pr="00CE2B71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atklāšanas un</w:t>
            </w:r>
            <w:r w:rsidRPr="00CE2B71">
              <w:rPr>
                <w:rFonts w:ascii="Times New Roman" w:hAnsi="Times New Roman" w:cs="Times New Roman"/>
                <w:sz w:val="28"/>
                <w:szCs w:val="24"/>
              </w:rPr>
              <w:t xml:space="preserve"> trauksmes signalizācijas sistēmu, tiks izmantotas nometnei.</w:t>
            </w:r>
          </w:p>
        </w:tc>
      </w:tr>
      <w:tr w14:paraId="7DA8C6F1" w14:textId="77777777" w:rsidTr="00E8548B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B2889" w:rsidRPr="00070E23" w:rsidP="00E8548B" w14:paraId="1EF370B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B2889" w:rsidRPr="00070E23" w:rsidP="00E8548B" w14:paraId="7C37A45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E09E7D5" w14:textId="77777777" w:rsidTr="00E8548B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B2889" w:rsidRPr="00E227D8" w:rsidP="00E8548B" w14:paraId="4EE4F8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0B2889" w:rsidRPr="00A74168" w:rsidP="00E8548B" w14:paraId="412C5D73" w14:textId="15D66E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2B71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Pārbaudes laikā konstatētie ugunsdrošības prasību pārkāpumi: pārbaudes laikā</w:t>
            </w:r>
            <w:r w:rsidRPr="00A74168">
              <w:rPr>
                <w:rFonts w:ascii="Times New Roman" w:hAnsi="Times New Roman" w:cs="Times New Roman"/>
                <w:sz w:val="28"/>
                <w:szCs w:val="24"/>
              </w:rPr>
              <w:t xml:space="preserve"> normatīvo aktu </w:t>
            </w:r>
            <w:r w:rsidRPr="00CE2B71" w:rsidR="007B6346">
              <w:rPr>
                <w:rFonts w:ascii="Times New Roman" w:hAnsi="Times New Roman" w:cs="Times New Roman"/>
                <w:sz w:val="28"/>
                <w:szCs w:val="24"/>
              </w:rPr>
              <w:t>ugunsdrošīb</w:t>
            </w:r>
            <w:bookmarkStart w:id="0" w:name="_GoBack"/>
            <w:bookmarkEnd w:id="0"/>
            <w:r w:rsidRPr="00CE2B71" w:rsidR="007B6346">
              <w:rPr>
                <w:rFonts w:ascii="Times New Roman" w:hAnsi="Times New Roman" w:cs="Times New Roman"/>
                <w:sz w:val="28"/>
                <w:szCs w:val="24"/>
              </w:rPr>
              <w:t>ā prasību būtiski pārkāpumi nav konstatēti.</w:t>
            </w:r>
          </w:p>
        </w:tc>
      </w:tr>
      <w:tr w14:paraId="5C2E8DA0" w14:textId="77777777" w:rsidTr="00E8548B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B2889" w:rsidP="00E8548B" w14:paraId="3D0FB5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0B2889" w:rsidRPr="00CE2B71" w:rsidP="00E8548B" w14:paraId="1EA5DD7C" w14:textId="5E6AB20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14:paraId="12B878AD" w14:textId="77777777" w:rsidTr="00E8548B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B2889" w:rsidRPr="00070E23" w:rsidP="00E8548B" w14:paraId="00FC1A1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B2889" w:rsidRPr="00070E23" w:rsidP="00E8548B" w14:paraId="62813AC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4D185F92" w14:textId="77777777" w:rsidTr="00E8548B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B2889" w:rsidRPr="00E227D8" w:rsidP="00E8548B" w14:paraId="49FA53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0B2889" w:rsidRPr="00A74168" w:rsidP="00E8548B" w14:paraId="235D4B24" w14:textId="777777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2B71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Slēdziens: </w:t>
            </w:r>
            <w:r w:rsidRPr="00CE2B71">
              <w:rPr>
                <w:rFonts w:ascii="Times New Roman" w:hAnsi="Times New Roman" w:cs="Times New Roman"/>
                <w:sz w:val="28"/>
                <w:u w:val="single"/>
              </w:rPr>
              <w:t>nav iebildumi bērnu nometnes “Basketbol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a</w:t>
            </w:r>
            <w:r w:rsidRPr="00CE2B71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dienas treniņnometne</w:t>
            </w:r>
            <w:r w:rsidRPr="00A74168">
              <w:rPr>
                <w:rFonts w:ascii="Times New Roman" w:hAnsi="Times New Roman" w:cs="Times New Roman"/>
                <w:sz w:val="28"/>
                <w:u w:val="single"/>
              </w:rPr>
              <w:t>” laika periodā no 2022. gada 2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7</w:t>
            </w:r>
            <w:r w:rsidRPr="00CE2B71">
              <w:rPr>
                <w:rFonts w:ascii="Times New Roman" w:hAnsi="Times New Roman" w:cs="Times New Roman"/>
                <w:sz w:val="28"/>
                <w:u w:val="single"/>
              </w:rPr>
              <w:t xml:space="preserve">. jūnija līdz 2022 gada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1</w:t>
            </w:r>
            <w:r w:rsidRPr="00CE2B71">
              <w:rPr>
                <w:rFonts w:ascii="Times New Roman" w:hAnsi="Times New Roman" w:cs="Times New Roman"/>
                <w:sz w:val="28"/>
                <w:u w:val="single"/>
              </w:rPr>
              <w:t>. jūlijam un bērnu nometnes “</w:t>
            </w:r>
            <w:r w:rsidRPr="00BA3FD3">
              <w:rPr>
                <w:rFonts w:ascii="Times New Roman" w:hAnsi="Times New Roman" w:cs="Times New Roman"/>
                <w:sz w:val="28"/>
                <w:u w:val="single"/>
              </w:rPr>
              <w:t>Basketbol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a</w:t>
            </w:r>
            <w:r w:rsidRPr="00BA3FD3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dienas treniņnometne</w:t>
            </w:r>
            <w:r w:rsidRPr="00CE2B71">
              <w:rPr>
                <w:rFonts w:ascii="Times New Roman" w:hAnsi="Times New Roman" w:cs="Times New Roman"/>
                <w:sz w:val="28"/>
                <w:u w:val="single"/>
              </w:rPr>
              <w:t xml:space="preserve">” laika periodā no 2022. gada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4</w:t>
            </w:r>
            <w:r w:rsidRPr="00CE2B71">
              <w:rPr>
                <w:rFonts w:ascii="Times New Roman" w:hAnsi="Times New Roman" w:cs="Times New Roman"/>
                <w:sz w:val="28"/>
                <w:u w:val="single"/>
              </w:rPr>
              <w:t xml:space="preserve">. jūlija līdz 2022 gada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8</w:t>
            </w:r>
            <w:r w:rsidRPr="00A74168">
              <w:rPr>
                <w:rFonts w:ascii="Times New Roman" w:hAnsi="Times New Roman" w:cs="Times New Roman"/>
                <w:sz w:val="28"/>
                <w:u w:val="single"/>
              </w:rPr>
              <w:t xml:space="preserve">. jūlijam rīkošanu apsekotajā ēkā. Ekspluatācijas laikā jāievēro Latvijas Republikas Ministru kabineta 2016.gada 19.aprīļa noteikumu </w:t>
            </w:r>
            <w:r w:rsidRPr="00A74168">
              <w:rPr>
                <w:rFonts w:ascii="Times New Roman" w:hAnsi="Times New Roman" w:cs="Times New Roman"/>
                <w:sz w:val="28"/>
              </w:rPr>
              <w:t xml:space="preserve">Nr.238“Ugunsdrošības </w:t>
            </w:r>
            <w:r w:rsidRPr="002B720D">
              <w:rPr>
                <w:rFonts w:ascii="Times New Roman" w:hAnsi="Times New Roman" w:cs="Times New Roman"/>
                <w:sz w:val="28"/>
              </w:rPr>
              <w:t>noteikumi” prasības.</w:t>
            </w:r>
          </w:p>
        </w:tc>
      </w:tr>
      <w:tr w14:paraId="0EFD6713" w14:textId="77777777" w:rsidTr="00E8548B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B2889" w:rsidP="00E8548B" w14:paraId="3B17466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0B2889" w:rsidRPr="00A74168" w:rsidP="00E8548B" w14:paraId="06F563AC" w14:textId="777777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14:paraId="10C945A5" w14:textId="77777777" w:rsidTr="00E8548B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B2889" w:rsidRPr="00070E23" w:rsidP="00E8548B" w14:paraId="2A67F01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B2889" w:rsidRPr="00070E23" w:rsidP="00E8548B" w14:paraId="7073427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4F75DBE1" w14:textId="77777777" w:rsidTr="00E8548B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B2889" w:rsidRPr="00E227D8" w:rsidP="00E8548B" w14:paraId="148174D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0B2889" w:rsidRPr="00A74168" w:rsidP="00E8548B" w14:paraId="456BB119" w14:textId="777777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74168">
              <w:rPr>
                <w:rFonts w:ascii="Times New Roman" w:hAnsi="Times New Roman" w:cs="Times New Roman"/>
                <w:sz w:val="28"/>
                <w:u w:val="single"/>
              </w:rPr>
              <w:t>Atzinums izsniegts saskaņā ar: Latvijas Republikas Ministru kabineta 2009.gada</w:t>
            </w:r>
            <w:r w:rsidRPr="00A7416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E2B71">
              <w:rPr>
                <w:rFonts w:ascii="Times New Roman" w:hAnsi="Times New Roman" w:cs="Times New Roman"/>
                <w:sz w:val="28"/>
                <w:u w:val="single"/>
              </w:rPr>
              <w:t xml:space="preserve">1.septembra noteikumu Nr.981 „Bērnu nometņu organizēšanas un darbības </w:t>
            </w:r>
            <w:r w:rsidRPr="00AD6897">
              <w:rPr>
                <w:rFonts w:ascii="Times New Roman" w:hAnsi="Times New Roman" w:cs="Times New Roman"/>
                <w:sz w:val="28"/>
              </w:rPr>
              <w:t>kārtība”</w:t>
            </w:r>
            <w:r w:rsidRPr="00C76E5C">
              <w:rPr>
                <w:rFonts w:ascii="Times New Roman" w:hAnsi="Times New Roman" w:cs="Times New Roman"/>
                <w:sz w:val="28"/>
              </w:rPr>
              <w:t xml:space="preserve"> 8.5.apakšpunkta prasībām.</w:t>
            </w:r>
          </w:p>
        </w:tc>
      </w:tr>
      <w:tr w14:paraId="56AD1E1D" w14:textId="77777777" w:rsidTr="00E8548B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B2889" w:rsidP="00E8548B" w14:paraId="778131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0B2889" w:rsidRPr="00A74168" w:rsidP="00E8548B" w14:paraId="325DE1D3" w14:textId="777777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14:paraId="5331F7CC" w14:textId="77777777" w:rsidTr="00E8548B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B2889" w:rsidRPr="00070E23" w:rsidP="00E8548B" w14:paraId="4A691CCB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B2889" w:rsidRPr="00070E23" w:rsidP="00E8548B" w14:paraId="3D8284EB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0F5F715D" w14:textId="77777777" w:rsidTr="00E8548B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B2889" w:rsidRPr="00E227D8" w:rsidP="00E8548B" w14:paraId="3EFC31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0B2889" w:rsidRPr="00E227D8" w:rsidP="00E8548B" w14:paraId="6C0177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168">
              <w:rPr>
                <w:rFonts w:ascii="Times New Roman" w:hAnsi="Times New Roman" w:cs="Times New Roman"/>
                <w:sz w:val="28"/>
              </w:rPr>
              <w:t xml:space="preserve">Atzinumu paredzēts iesniegt: </w:t>
            </w:r>
            <w:r w:rsidRPr="00CE2B71">
              <w:rPr>
                <w:rFonts w:ascii="Times New Roman" w:hAnsi="Times New Roman" w:cs="Times New Roman"/>
                <w:sz w:val="28"/>
              </w:rPr>
              <w:t>Valsts izglītības satura centram.</w:t>
            </w:r>
          </w:p>
        </w:tc>
      </w:tr>
      <w:tr w14:paraId="0BC378C4" w14:textId="77777777" w:rsidTr="00E8548B">
        <w:tblPrEx>
          <w:tblW w:w="9924" w:type="dxa"/>
          <w:tblInd w:w="-426" w:type="dxa"/>
          <w:tblLayout w:type="fixed"/>
          <w:tblLook w:val="04A0"/>
        </w:tblPrEx>
        <w:trPr>
          <w:trHeight w:val="603"/>
        </w:trPr>
        <w:tc>
          <w:tcPr>
            <w:tcW w:w="426" w:type="dxa"/>
          </w:tcPr>
          <w:p w:rsidR="000B2889" w:rsidRPr="00070E23" w:rsidP="00E8548B" w14:paraId="5B8CB2CF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B2889" w:rsidRPr="00070E23" w:rsidP="00E8548B" w14:paraId="3FB4879D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0B2889" w:rsidRPr="00A74168" w:rsidP="000B2889" w14:paraId="64FCABCD" w14:textId="77777777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A74168">
        <w:rPr>
          <w:rFonts w:ascii="Times New Roman" w:hAnsi="Times New Roman" w:cs="Times New Roman"/>
          <w:sz w:val="28"/>
        </w:rPr>
        <w:t>Atzinums iesniegšanai derīgs sešus mēnešus.</w:t>
      </w:r>
    </w:p>
    <w:p w:rsidR="000B2889" w:rsidRPr="00A74168" w:rsidP="000B2889" w14:paraId="4C57C4F1" w14:textId="77777777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B2889" w:rsidRPr="00A74168" w:rsidP="000B2889" w14:paraId="5E2B39D9" w14:textId="77777777">
      <w:pPr>
        <w:ind w:firstLine="567"/>
        <w:rPr>
          <w:rFonts w:ascii="Times New Roman" w:hAnsi="Times New Roman" w:cs="Times New Roman"/>
          <w:sz w:val="28"/>
          <w:szCs w:val="24"/>
        </w:rPr>
      </w:pPr>
      <w:r w:rsidRPr="00A74168">
        <w:rPr>
          <w:rFonts w:ascii="Times New Roman" w:hAnsi="Times New Roman" w:cs="Times New Roman"/>
          <w:sz w:val="28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14:paraId="1B74474A" w14:textId="77777777" w:rsidTr="00E8548B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0B2889" w:rsidRPr="00A74168" w:rsidP="00E8548B" w14:paraId="3B57340A" w14:textId="777777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74168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Valsts ugunsdzēsības un glābšanas dienesta Rīgas reģiona pārvaldes priekšniekam, </w:t>
            </w:r>
          </w:p>
        </w:tc>
      </w:tr>
      <w:tr w14:paraId="5DCA558E" w14:textId="77777777" w:rsidTr="00E8548B">
        <w:tblPrEx>
          <w:tblW w:w="9922" w:type="dxa"/>
          <w:tblInd w:w="-400" w:type="dxa"/>
          <w:tblLook w:val="04A0"/>
        </w:tblPrEx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0B2889" w:rsidRPr="00A74168" w:rsidP="00E8548B" w14:paraId="56DFABB0" w14:textId="77777777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74168">
              <w:rPr>
                <w:rFonts w:ascii="Times New Roman" w:hAnsi="Times New Roman"/>
                <w:color w:val="000000"/>
                <w:sz w:val="28"/>
                <w:szCs w:val="24"/>
              </w:rPr>
              <w:t>Jaunpils ielā 13, Rīgā, LV-1002</w:t>
            </w:r>
            <w:r w:rsidRPr="00A7416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14:paraId="76E462D2" w14:textId="77777777" w:rsidTr="00E8548B">
        <w:tblPrEx>
          <w:tblW w:w="9922" w:type="dxa"/>
          <w:tblInd w:w="-400" w:type="dxa"/>
          <w:tblLook w:val="04A0"/>
        </w:tblPrEx>
        <w:tc>
          <w:tcPr>
            <w:tcW w:w="9922" w:type="dxa"/>
            <w:tcBorders>
              <w:top w:val="single" w:sz="4" w:space="0" w:color="auto"/>
            </w:tcBorders>
          </w:tcPr>
          <w:p w:rsidR="000B2889" w:rsidRPr="00B245E2" w:rsidP="00E8548B" w14:paraId="36410187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0B2889" w:rsidP="000B2889" w14:paraId="32AFF6C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4"/>
        <w:gridCol w:w="284"/>
        <w:gridCol w:w="1843"/>
        <w:gridCol w:w="283"/>
        <w:gridCol w:w="3148"/>
      </w:tblGrid>
      <w:tr w14:paraId="04302A34" w14:textId="77777777" w:rsidTr="00E8548B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:rsidR="000B2889" w:rsidRPr="007D2C05" w:rsidP="00E8548B" w14:paraId="239AAD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68">
              <w:rPr>
                <w:rFonts w:ascii="Times New Roman" w:hAnsi="Times New Roman" w:cs="Times New Roman"/>
                <w:sz w:val="28"/>
                <w:szCs w:val="24"/>
              </w:rPr>
              <w:t>Valsts ugunsdzēsības un glābšanas dienesta Rīgas reģiona pārvaldes Slokas posteņa komandieris</w:t>
            </w:r>
          </w:p>
        </w:tc>
        <w:tc>
          <w:tcPr>
            <w:tcW w:w="284" w:type="dxa"/>
            <w:vAlign w:val="bottom"/>
          </w:tcPr>
          <w:p w:rsidR="000B2889" w:rsidRPr="007D2C05" w:rsidP="00E8548B" w14:paraId="7FF9EC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B2889" w:rsidRPr="007D2C05" w:rsidP="00E8548B" w14:paraId="31E486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0B2889" w:rsidRPr="007D2C05" w:rsidP="00E8548B" w14:paraId="271923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:rsidR="000B2889" w:rsidRPr="007D2C05" w:rsidP="00E8548B" w14:paraId="0A6C9F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85D74A" w14:textId="77777777" w:rsidTr="00E8548B">
        <w:tblPrEx>
          <w:tblW w:w="9922" w:type="dxa"/>
          <w:tblInd w:w="-400" w:type="dxa"/>
          <w:tblLayout w:type="fixed"/>
          <w:tblLook w:val="04A0"/>
        </w:tblPrEx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:rsidR="000B2889" w:rsidRPr="00B245E2" w:rsidP="00E8548B" w14:paraId="46CFB6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0B2889" w:rsidRPr="00B245E2" w:rsidP="00E8548B" w14:paraId="299B18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2889" w:rsidRPr="00B245E2" w:rsidP="00E8548B" w14:paraId="3E11CD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0B2889" w:rsidRPr="00B245E2" w:rsidP="00E8548B" w14:paraId="4BF262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0B2889" w:rsidRPr="00B245E2" w:rsidP="00E8548B" w14:paraId="2CC7F8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0B2889" w:rsidP="000B2889" w14:paraId="3FA0DD31" w14:textId="77777777">
      <w:pPr>
        <w:rPr>
          <w:rFonts w:ascii="Times New Roman" w:hAnsi="Times New Roman" w:cs="Times New Roman"/>
          <w:sz w:val="24"/>
          <w:szCs w:val="24"/>
        </w:rPr>
      </w:pPr>
    </w:p>
    <w:p w:rsidR="000B2889" w:rsidRPr="00A74168" w:rsidP="000B2889" w14:paraId="19527A31" w14:textId="77777777">
      <w:pPr>
        <w:ind w:firstLine="567"/>
        <w:rPr>
          <w:rFonts w:ascii="Times New Roman" w:hAnsi="Times New Roman" w:cs="Times New Roman"/>
          <w:sz w:val="28"/>
          <w:szCs w:val="24"/>
        </w:rPr>
      </w:pPr>
      <w:r w:rsidRPr="00A74168">
        <w:rPr>
          <w:rFonts w:ascii="Times New Roman" w:hAnsi="Times New Roman" w:cs="Times New Roman"/>
          <w:sz w:val="28"/>
          <w:szCs w:val="24"/>
        </w:rPr>
        <w:t>Atzinumu saņēmu: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74"/>
        <w:gridCol w:w="284"/>
        <w:gridCol w:w="2864"/>
      </w:tblGrid>
      <w:tr w14:paraId="5ABD5E60" w14:textId="77777777" w:rsidTr="00E8548B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774" w:type="dxa"/>
            <w:tcBorders>
              <w:bottom w:val="single" w:sz="4" w:space="0" w:color="auto"/>
            </w:tcBorders>
            <w:vAlign w:val="bottom"/>
          </w:tcPr>
          <w:p w:rsidR="000B2889" w:rsidP="00E8548B" w14:paraId="0C2678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B2889" w:rsidP="00E8548B" w14:paraId="3AD770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:rsidR="000B2889" w:rsidP="00E8548B" w14:paraId="75FBDF9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8732FB" w14:textId="77777777" w:rsidTr="00E8548B">
        <w:tblPrEx>
          <w:tblW w:w="9922" w:type="dxa"/>
          <w:tblInd w:w="-400" w:type="dxa"/>
          <w:tblLayout w:type="fixed"/>
          <w:tblLook w:val="04A0"/>
        </w:tblPrEx>
        <w:tc>
          <w:tcPr>
            <w:tcW w:w="6774" w:type="dxa"/>
            <w:tcBorders>
              <w:top w:val="single" w:sz="4" w:space="0" w:color="auto"/>
            </w:tcBorders>
          </w:tcPr>
          <w:p w:rsidR="000B2889" w:rsidRPr="007D2C05" w:rsidP="00E8548B" w14:paraId="2DDA5D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0B2889" w:rsidRPr="007D2C05" w:rsidP="00E8548B" w14:paraId="2D40A1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0B2889" w:rsidRPr="007D2C05" w:rsidP="00E8548B" w14:paraId="237535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0B2889" w:rsidP="000B2889" w14:paraId="77BBA344" w14:textId="77777777">
      <w:pPr>
        <w:rPr>
          <w:rFonts w:ascii="Times New Roman" w:hAnsi="Times New Roman" w:cs="Times New Roman"/>
          <w:sz w:val="24"/>
          <w:szCs w:val="24"/>
        </w:rPr>
      </w:pPr>
    </w:p>
    <w:p w:rsidR="000B2889" w:rsidRPr="00CE2B71" w:rsidP="000B2889" w14:paraId="747370F8" w14:textId="77777777">
      <w:pPr>
        <w:rPr>
          <w:rFonts w:ascii="Times New Roman" w:hAnsi="Times New Roman" w:cs="Times New Roman"/>
          <w:sz w:val="28"/>
          <w:szCs w:val="24"/>
        </w:rPr>
      </w:pPr>
      <w:r w:rsidRPr="00CE2B71">
        <w:rPr>
          <w:rFonts w:ascii="Times New Roman" w:hAnsi="Times New Roman" w:cs="Times New Roman"/>
          <w:sz w:val="28"/>
          <w:szCs w:val="24"/>
        </w:rPr>
        <w:t>2022. gada ___. ___________</w:t>
      </w:r>
    </w:p>
    <w:p w:rsidR="000B2889" w:rsidRPr="00762AE8" w:rsidP="000B2889" w14:paraId="0BC1D14F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3F05F700" w14:textId="0D2BF3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Sect="004F2F2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A6F" w14:paraId="23DA9C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D71" w:rsidRPr="00762AE8" w:rsidP="00124D71" w14:paraId="45B37047" w14:textId="77777777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 xml:space="preserve">DOKUMENTS PARAKSTĪTS AR DROŠU </w:t>
    </w:r>
    <w:r w:rsidRPr="00762AE8">
      <w:rPr>
        <w:rFonts w:ascii="Times New Roman" w:hAnsi="Times New Roman" w:cs="Times New Roman"/>
        <w:sz w:val="24"/>
        <w:szCs w:val="24"/>
      </w:rPr>
      <w:t>ELEKTRONISKO PARAKSTU UN SATUR</w:t>
    </w:r>
  </w:p>
  <w:p w:rsidR="00762AE8" w:rsidRPr="00C07822" w:rsidP="00C07822" w14:paraId="3F05F707" w14:textId="30C34910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D71" w:rsidRPr="00762AE8" w:rsidP="00124D71" w14:paraId="169BBB2C" w14:textId="77777777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P="00C07822" w14:paraId="3F05F709" w14:textId="106046F6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A6F" w14:paraId="650BD1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107524780"/>
      <w:docPartObj>
        <w:docPartGallery w:val="Page Numbers (Top of Page)"/>
        <w:docPartUnique/>
      </w:docPartObj>
    </w:sdtPr>
    <w:sdtContent>
      <w:p w:rsidR="00E227D8" w:rsidRPr="00762AE8" w14:paraId="3F05F704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2FD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3F05F705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A6F" w:rsidP="00B53A6F" w14:paraId="14A99115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290830</wp:posOffset>
          </wp:positionV>
          <wp:extent cx="5676900" cy="1028700"/>
          <wp:effectExtent l="19050" t="19050" r="19050" b="19050"/>
          <wp:wrapNone/>
          <wp:docPr id="15" name="Attēls 15" descr="pilnkrasu_header_veidlapa_36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pilnkrasu_header_veidlapa_36_v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0287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A6F" w:rsidP="00B53A6F" w14:paraId="482F84D5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6207ADAD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5B9EBEEE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740F9EAD" w14:textId="77777777">
    <w:pPr>
      <w:tabs>
        <w:tab w:val="left" w:pos="8268"/>
      </w:tabs>
      <w:spacing w:after="0" w:line="240" w:lineRule="auto"/>
      <w:rPr>
        <w:rFonts w:ascii="Times New Roman" w:hAnsi="Times New Roman"/>
      </w:rPr>
    </w:pPr>
  </w:p>
  <w:p w:rsidR="00B53A6F" w:rsidP="00B53A6F" w14:paraId="16475A79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4A667EBE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59190DFF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313ADAB6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39E5413F" w14:textId="777777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:rsidR="00B53A6F" w:rsidP="00B53A6F" w14:paraId="2B04F284" w14:textId="777777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2049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0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  <w:r>
      <w:rPr>
        <w:rFonts w:ascii="Times New Roman" w:hAnsi="Times New Roman"/>
        <w:sz w:val="18"/>
        <w:szCs w:val="18"/>
      </w:rPr>
      <w:t>RĪGAS REĢIONA PĀRVALDE</w:t>
    </w:r>
  </w:p>
  <w:p w:rsidR="00762AE8" w:rsidRPr="00C07822" w:rsidP="00C07822" w14:paraId="3F05F708" w14:textId="362F2FDB">
    <w:pPr>
      <w:spacing w:after="0" w:line="360" w:lineRule="auto"/>
      <w:ind w:left="20" w:right="-45"/>
      <w:jc w:val="center"/>
      <w:rPr>
        <w:rFonts w:ascii="Times New Roman" w:eastAsia="Times New Roman" w:hAnsi="Times New Roman"/>
        <w:color w:val="231F20"/>
        <w:sz w:val="17"/>
        <w:szCs w:val="17"/>
        <w:lang w:val="de-DE"/>
      </w:rPr>
    </w:pPr>
    <w:r>
      <w:rPr>
        <w:rFonts w:ascii="Times New Roman" w:eastAsia="Times New Roman" w:hAnsi="Times New Roman"/>
        <w:color w:val="231F20"/>
        <w:sz w:val="17"/>
        <w:szCs w:val="17"/>
        <w:lang w:val="pt-BR"/>
      </w:rPr>
      <w:t>Jaunpils iela 13, Rīga, LV-1002, tālr.: 67209650, e-pasts: rrp@vugd.gov.lv, www.vugd.gov.lv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70E23"/>
    <w:rsid w:val="000B2889"/>
    <w:rsid w:val="000D3E6E"/>
    <w:rsid w:val="00124D71"/>
    <w:rsid w:val="00130CCD"/>
    <w:rsid w:val="0015650A"/>
    <w:rsid w:val="00196F07"/>
    <w:rsid w:val="00260584"/>
    <w:rsid w:val="00281811"/>
    <w:rsid w:val="002B720D"/>
    <w:rsid w:val="003437F5"/>
    <w:rsid w:val="00346269"/>
    <w:rsid w:val="00387C99"/>
    <w:rsid w:val="00390F52"/>
    <w:rsid w:val="003B78D3"/>
    <w:rsid w:val="00426EBD"/>
    <w:rsid w:val="00441E69"/>
    <w:rsid w:val="00483BBB"/>
    <w:rsid w:val="004901B0"/>
    <w:rsid w:val="004B03FF"/>
    <w:rsid w:val="004B095D"/>
    <w:rsid w:val="004B6422"/>
    <w:rsid w:val="004E6B03"/>
    <w:rsid w:val="004F2F23"/>
    <w:rsid w:val="00561B63"/>
    <w:rsid w:val="00590A28"/>
    <w:rsid w:val="005D1C44"/>
    <w:rsid w:val="005D635A"/>
    <w:rsid w:val="00635786"/>
    <w:rsid w:val="00736BC1"/>
    <w:rsid w:val="00762AE8"/>
    <w:rsid w:val="007665C9"/>
    <w:rsid w:val="00794977"/>
    <w:rsid w:val="00794DFA"/>
    <w:rsid w:val="007B6346"/>
    <w:rsid w:val="007D2C05"/>
    <w:rsid w:val="00824BA9"/>
    <w:rsid w:val="00884E35"/>
    <w:rsid w:val="008866CD"/>
    <w:rsid w:val="008F1E91"/>
    <w:rsid w:val="00964438"/>
    <w:rsid w:val="0097786E"/>
    <w:rsid w:val="00A025C5"/>
    <w:rsid w:val="00A24FDC"/>
    <w:rsid w:val="00A47DBC"/>
    <w:rsid w:val="00A5100D"/>
    <w:rsid w:val="00A52FD3"/>
    <w:rsid w:val="00A74168"/>
    <w:rsid w:val="00A92CE2"/>
    <w:rsid w:val="00AD6897"/>
    <w:rsid w:val="00B00630"/>
    <w:rsid w:val="00B245E2"/>
    <w:rsid w:val="00B42A8D"/>
    <w:rsid w:val="00B53A6F"/>
    <w:rsid w:val="00B60EAD"/>
    <w:rsid w:val="00B97A08"/>
    <w:rsid w:val="00BA3FD3"/>
    <w:rsid w:val="00C07822"/>
    <w:rsid w:val="00C33E3A"/>
    <w:rsid w:val="00C3737A"/>
    <w:rsid w:val="00C51BBF"/>
    <w:rsid w:val="00C522E2"/>
    <w:rsid w:val="00C76E5C"/>
    <w:rsid w:val="00C946FD"/>
    <w:rsid w:val="00C959F6"/>
    <w:rsid w:val="00CD1CAC"/>
    <w:rsid w:val="00CE2B71"/>
    <w:rsid w:val="00D639C2"/>
    <w:rsid w:val="00DB3B2E"/>
    <w:rsid w:val="00E0387C"/>
    <w:rsid w:val="00E227D8"/>
    <w:rsid w:val="00E60393"/>
    <w:rsid w:val="00E8548B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05F67F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227D8"/>
  </w:style>
  <w:style w:type="paragraph" w:styleId="BalloonText">
    <w:name w:val="Balloon Text"/>
    <w:basedOn w:val="Normal"/>
    <w:link w:val="BalontekstsRakstz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12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Uldis Aizups</cp:lastModifiedBy>
  <cp:revision>10</cp:revision>
  <dcterms:created xsi:type="dcterms:W3CDTF">2022-04-04T17:49:00Z</dcterms:created>
  <dcterms:modified xsi:type="dcterms:W3CDTF">2022-06-14T07:51:00Z</dcterms:modified>
</cp:coreProperties>
</file>