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C54EA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907785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4EA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RDefault="00907785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KURZEMES REĢIONA BRIGĀDE</w:t>
            </w:r>
          </w:p>
          <w:p w:rsidR="00E227D8" w:rsidRDefault="00907785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8" w:history="1">
              <w:r w:rsidR="00B5539A" w:rsidRPr="00682895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, </w:t>
            </w:r>
            <w:proofErr w:type="spellStart"/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www.vugd.gov.lv</w:t>
            </w:r>
            <w:proofErr w:type="spellEnd"/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8C54EA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907785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Saldus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90778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Biedrība </w:t>
            </w:r>
            <w:r w:rsidRPr="001F7721">
              <w:rPr>
                <w:rFonts w:ascii="Times New Roman" w:hAnsi="Times New Roman"/>
                <w:sz w:val="24"/>
                <w:szCs w:val="24"/>
              </w:rPr>
              <w:t>Džudo klubs SALDUS</w:t>
            </w:r>
          </w:p>
        </w:tc>
      </w:tr>
      <w:tr w:rsidR="008C54EA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907785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90778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nosaukums vai fiziskās personas vārds, uzvārds)</w:t>
            </w:r>
          </w:p>
        </w:tc>
      </w:tr>
      <w:tr w:rsidR="008C54EA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907785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907785" w:rsidP="00C34570">
            <w:pPr>
              <w:tabs>
                <w:tab w:val="left" w:pos="15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805E6">
              <w:rPr>
                <w:rFonts w:ascii="Times New Roman" w:hAnsi="Times New Roman"/>
                <w:color w:val="000000"/>
                <w:sz w:val="24"/>
                <w:szCs w:val="24"/>
              </w:rPr>
              <w:t>40008122929</w:t>
            </w:r>
          </w:p>
        </w:tc>
      </w:tr>
      <w:tr w:rsidR="008C54EA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907785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90778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8C54EA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7805E6" w:rsidRDefault="0090778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E6">
              <w:rPr>
                <w:rFonts w:ascii="Times New Roman" w:hAnsi="Times New Roman"/>
                <w:color w:val="000000"/>
                <w:sz w:val="24"/>
                <w:szCs w:val="24"/>
              </w:rPr>
              <w:t>"Salnas"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Zaņas pagasts, </w:t>
            </w:r>
          </w:p>
          <w:p w:rsidR="00E227D8" w:rsidRPr="005D1C44" w:rsidRDefault="0090778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Saldus novads, </w:t>
            </w:r>
            <w:r w:rsidRPr="007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LV</w:t>
            </w:r>
            <w:r w:rsidR="004129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805E6">
              <w:rPr>
                <w:rFonts w:ascii="Times New Roman" w:hAnsi="Times New Roman"/>
                <w:color w:val="000000"/>
                <w:sz w:val="24"/>
                <w:szCs w:val="24"/>
              </w:rPr>
              <w:t>3897</w:t>
            </w:r>
          </w:p>
        </w:tc>
      </w:tr>
      <w:tr w:rsidR="008C54EA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907785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fiziskās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907785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</w:t>
      </w:r>
      <w:proofErr w:type="spellEnd"/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22/12-3.8/103</w:t>
      </w:r>
    </w:p>
    <w:p w:rsidR="00C959F6" w:rsidRDefault="00907785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7"/>
      </w:tblGrid>
      <w:tr w:rsidR="008C54EA" w:rsidTr="00F408A7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907785" w:rsidP="00C3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Apsekots</w:t>
            </w:r>
            <w:r w:rsidR="00773B26" w:rsidRPr="00773B2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42AA1">
              <w:rPr>
                <w:rFonts w:ascii="Times New Roman" w:hAnsi="Times New Roman" w:cs="Times New Roman"/>
                <w:sz w:val="24"/>
              </w:rPr>
              <w:t xml:space="preserve">Saldus novada pašvaldības Lutriņu pamatskolas </w:t>
            </w:r>
            <w:r w:rsidR="00E36DB0">
              <w:rPr>
                <w:rFonts w:ascii="Times New Roman" w:hAnsi="Times New Roman" w:cs="Times New Roman"/>
                <w:sz w:val="24"/>
              </w:rPr>
              <w:t xml:space="preserve">klašu </w:t>
            </w:r>
            <w:r w:rsidR="00A70D21">
              <w:rPr>
                <w:rFonts w:ascii="Times New Roman" w:hAnsi="Times New Roman" w:cs="Times New Roman"/>
                <w:sz w:val="24"/>
              </w:rPr>
              <w:t xml:space="preserve">telpas un sporta zāle </w:t>
            </w:r>
          </w:p>
        </w:tc>
      </w:tr>
      <w:tr w:rsidR="008C54EA" w:rsidTr="00F408A7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C34570" w:rsidRDefault="00C3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C34570" w:rsidRDefault="00907785" w:rsidP="00C345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(turpmāk-Objekts).</w:t>
            </w:r>
          </w:p>
        </w:tc>
      </w:tr>
      <w:tr w:rsidR="008C54EA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90778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8C54EA" w:rsidTr="00F408A7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907785" w:rsidP="00A7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2AA1">
              <w:rPr>
                <w:rFonts w:ascii="Times New Roman" w:hAnsi="Times New Roman" w:cs="Times New Roman"/>
                <w:sz w:val="24"/>
              </w:rPr>
              <w:t>Skolas iela 1,</w:t>
            </w:r>
            <w:r w:rsidR="0041295F">
              <w:rPr>
                <w:rFonts w:ascii="Times New Roman" w:hAnsi="Times New Roman" w:cs="Times New Roman"/>
                <w:sz w:val="24"/>
              </w:rPr>
              <w:t xml:space="preserve"> Lutriņu pagasts, Saldus novads, LV-3861</w:t>
            </w:r>
            <w:r w:rsidR="00C921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C54EA" w:rsidTr="00F408A7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C54E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295F">
              <w:rPr>
                <w:rFonts w:ascii="Times New Roman" w:hAnsi="Times New Roman" w:cs="Times New Roman"/>
                <w:sz w:val="24"/>
              </w:rPr>
              <w:t>Saldus novada pašvaldība</w:t>
            </w:r>
            <w:r w:rsidR="00773B26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8C54EA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90778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8C54EA" w:rsidTr="00F408A7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295F">
              <w:rPr>
                <w:rFonts w:ascii="Times New Roman" w:hAnsi="Times New Roman" w:cs="Times New Roman"/>
                <w:sz w:val="24"/>
                <w:szCs w:val="24"/>
              </w:rPr>
              <w:t>90009114646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Striķu iela 3, Saldus, Saldus novads, LV-3801</w:t>
            </w:r>
          </w:p>
        </w:tc>
      </w:tr>
      <w:tr w:rsidR="008C54EA" w:rsidTr="00F408A7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90778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personas reģistrācijas numurs vai fiziskās personas kods; adrese)</w:t>
            </w:r>
          </w:p>
        </w:tc>
      </w:tr>
      <w:tr w:rsidR="008C54E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907785" w:rsidP="00773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544E89">
              <w:rPr>
                <w:rFonts w:ascii="Times New Roman" w:hAnsi="Times New Roman" w:cs="Times New Roman"/>
                <w:sz w:val="24"/>
              </w:rPr>
              <w:t xml:space="preserve"> Gata Baumaņa</w:t>
            </w:r>
            <w:r w:rsidR="00544E89" w:rsidRPr="00544E89">
              <w:rPr>
                <w:rFonts w:ascii="Times New Roman" w:hAnsi="Times New Roman" w:cs="Times New Roman"/>
                <w:sz w:val="24"/>
              </w:rPr>
              <w:t xml:space="preserve"> iesniegums Valsts ugunsdzēsības un glābšanas dienesta Kurzemes reģiona </w:t>
            </w:r>
            <w:r w:rsidR="00544E89">
              <w:rPr>
                <w:rFonts w:ascii="Times New Roman" w:hAnsi="Times New Roman" w:cs="Times New Roman"/>
                <w:sz w:val="24"/>
              </w:rPr>
              <w:t xml:space="preserve">brigādē reģistrēts 2022. gada 06. jūnijā ar </w:t>
            </w:r>
            <w:proofErr w:type="spellStart"/>
            <w:r w:rsidR="00544E89">
              <w:rPr>
                <w:rFonts w:ascii="Times New Roman" w:hAnsi="Times New Roman" w:cs="Times New Roman"/>
                <w:sz w:val="24"/>
              </w:rPr>
              <w:t>Nr</w:t>
            </w:r>
            <w:proofErr w:type="spellEnd"/>
            <w:r w:rsidR="00544E89">
              <w:rPr>
                <w:rFonts w:ascii="Times New Roman" w:hAnsi="Times New Roman" w:cs="Times New Roman"/>
                <w:sz w:val="24"/>
              </w:rPr>
              <w:t>. 22/12-1.11/380</w:t>
            </w:r>
            <w:r w:rsidR="00544E89" w:rsidRPr="00544E8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C54E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C54E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907785" w:rsidP="004F5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Apsekoto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C63">
              <w:rPr>
                <w:rFonts w:ascii="Times New Roman" w:hAnsi="Times New Roman" w:cs="Times New Roman"/>
                <w:sz w:val="24"/>
                <w:szCs w:val="24"/>
              </w:rPr>
              <w:t>divstāvu mūra ēka ar</w:t>
            </w:r>
            <w:r w:rsidR="00720C63">
              <w:t xml:space="preserve"> </w:t>
            </w:r>
            <w:r w:rsidR="00720C63" w:rsidRPr="00720C63">
              <w:rPr>
                <w:rFonts w:ascii="Times New Roman" w:hAnsi="Times New Roman" w:cs="Times New Roman"/>
                <w:sz w:val="24"/>
                <w:szCs w:val="24"/>
              </w:rPr>
              <w:t>ugunsizturības pakāpi U2b. Būvju lietošanas veids</w:t>
            </w:r>
            <w:r w:rsidR="0072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0C63" w:rsidRPr="00720C63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 w:rsidR="0072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5D0A">
              <w:rPr>
                <w:rFonts w:ascii="Times New Roman" w:hAnsi="Times New Roman" w:cs="Times New Roman"/>
                <w:sz w:val="24"/>
                <w:szCs w:val="24"/>
              </w:rPr>
              <w:t>Objekts aprīkot</w:t>
            </w:r>
            <w:r w:rsidR="00720C63" w:rsidRPr="00720C63">
              <w:rPr>
                <w:rFonts w:ascii="Times New Roman" w:hAnsi="Times New Roman" w:cs="Times New Roman"/>
                <w:sz w:val="24"/>
                <w:szCs w:val="24"/>
              </w:rPr>
              <w:t>s ar automātisko ugunsgrēka atklāšanas un trauksmes signa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lizācijas sistēmu un nodrošināt</w:t>
            </w:r>
            <w:r w:rsidR="00720C63" w:rsidRPr="00720C63">
              <w:rPr>
                <w:rFonts w:ascii="Times New Roman" w:hAnsi="Times New Roman" w:cs="Times New Roman"/>
                <w:sz w:val="24"/>
                <w:szCs w:val="24"/>
              </w:rPr>
              <w:t xml:space="preserve">s ar ugunsdzēsības aparātiem. </w:t>
            </w:r>
            <w:r w:rsidR="004F5D0A">
              <w:rPr>
                <w:rFonts w:ascii="Times New Roman" w:hAnsi="Times New Roman" w:cs="Times New Roman"/>
                <w:sz w:val="24"/>
                <w:szCs w:val="24"/>
              </w:rPr>
              <w:t xml:space="preserve">Sporta zāle nodrošināta </w:t>
            </w:r>
            <w:r w:rsidR="004F5D0A" w:rsidRPr="004F5D0A">
              <w:rPr>
                <w:rFonts w:ascii="Times New Roman" w:hAnsi="Times New Roman" w:cs="Times New Roman"/>
                <w:sz w:val="24"/>
                <w:szCs w:val="24"/>
              </w:rPr>
              <w:t>ar iekšējās ugunsdzēsības ūdensvada sistēmas krāniem</w:t>
            </w:r>
            <w:r w:rsidR="004F5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4E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C54E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088" w:rsidRDefault="00907785" w:rsidP="00C9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C345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05976">
              <w:rPr>
                <w:rFonts w:ascii="Times New Roman" w:hAnsi="Times New Roman" w:cs="Times New Roman"/>
                <w:sz w:val="24"/>
                <w:szCs w:val="24"/>
              </w:rPr>
              <w:t xml:space="preserve">bjektā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1.stāvā koridorā starp sporta zāli un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skolas korpusu esošā </w:t>
            </w:r>
            <w:proofErr w:type="spellStart"/>
            <w:r w:rsidRPr="00A05976">
              <w:rPr>
                <w:rFonts w:ascii="Times New Roman" w:hAnsi="Times New Roman" w:cs="Times New Roman"/>
                <w:sz w:val="24"/>
                <w:szCs w:val="24"/>
              </w:rPr>
              <w:t>elektroaizbīdņa</w:t>
            </w:r>
            <w:proofErr w:type="spellEnd"/>
            <w:r w:rsidRPr="00A05976">
              <w:rPr>
                <w:rFonts w:ascii="Times New Roman" w:hAnsi="Times New Roman" w:cs="Times New Roman"/>
                <w:sz w:val="24"/>
                <w:szCs w:val="24"/>
              </w:rPr>
              <w:t xml:space="preserve"> manuālās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ālvadības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iedarbināšanas ierīce</w:t>
            </w:r>
            <w:r w:rsidRPr="00A05976">
              <w:rPr>
                <w:rFonts w:ascii="Times New Roman" w:hAnsi="Times New Roman" w:cs="Times New Roman"/>
                <w:sz w:val="24"/>
                <w:szCs w:val="24"/>
              </w:rPr>
              <w:t xml:space="preserve"> nav nodroši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nātas ar paskaidrojošu uzrakstu, 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kā rezultātā nav ievērotas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C0E">
              <w:rPr>
                <w:rFonts w:ascii="Times New Roman" w:hAnsi="Times New Roman" w:cs="Times New Roman"/>
                <w:sz w:val="24"/>
                <w:szCs w:val="24"/>
              </w:rPr>
              <w:t xml:space="preserve">noteikumu </w:t>
            </w:r>
            <w:r w:rsidR="00364C0E" w:rsidRPr="00C921C9">
              <w:rPr>
                <w:rFonts w:ascii="Times New Roman" w:hAnsi="Times New Roman" w:cs="Times New Roman"/>
                <w:sz w:val="24"/>
                <w:szCs w:val="24"/>
              </w:rPr>
              <w:t>Ministru kabineta 2016.gada 19.aprīļa noteikumu Nr.238 “Ugunsdrošības noteikumi” (turp</w:t>
            </w:r>
            <w:r w:rsidR="00364C0E">
              <w:rPr>
                <w:rFonts w:ascii="Times New Roman" w:hAnsi="Times New Roman" w:cs="Times New Roman"/>
                <w:sz w:val="24"/>
                <w:szCs w:val="24"/>
              </w:rPr>
              <w:t>māk – Ugunsdrošības noteikumi)</w:t>
            </w:r>
            <w:r w:rsidR="008F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.punkta prasības</w:t>
            </w:r>
            <w:r w:rsidRPr="00A059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7F1" w:rsidRDefault="00907785" w:rsidP="00C9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C3457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Objekta sporta zālē </w:t>
            </w:r>
            <w:r w:rsidRPr="008F57F1">
              <w:rPr>
                <w:rFonts w:ascii="Times New Roman" w:hAnsi="Times New Roman" w:cs="Times New Roman"/>
                <w:sz w:val="24"/>
                <w:szCs w:val="24"/>
              </w:rPr>
              <w:t>nav veikta iekšējā ugunsdz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ēsības ūdensvada krānu pārbaude, 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 xml:space="preserve">kā rezultātā nav ievērotas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unsdrošības noteikumu 117.punkta prasības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5B6" w:rsidRDefault="00907785" w:rsidP="00C9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>Objekta ugunsdrošības instrukcijā norādīta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jektam neatbilstoša informācija, bet tieši neprecīzi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rādīta pulcēšanās vieta, 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kā rezultātā nav ievērots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Ugunsdrošības noteikumu 181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.punkta prasības</w:t>
            </w: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5B6" w:rsidRDefault="00907785" w:rsidP="00C9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C345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>Objekta atbildīgā persona nav nodrošinājusi ugunsdrošības 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truktāžu visiem nodarbinātajiem, 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kā rezultātā nav ievērotas</w:t>
            </w: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 Ugunsdr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ošības noteikumu 184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.punktaprasības</w:t>
            </w: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9AF" w:rsidRDefault="00907785" w:rsidP="00C9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Objekta virtuvē uz ugunsdzēsības pārklāja</w:t>
            </w:r>
            <w:r w:rsidRPr="002259AF">
              <w:rPr>
                <w:rFonts w:ascii="Times New Roman" w:hAnsi="Times New Roman" w:cs="Times New Roman"/>
                <w:sz w:val="24"/>
                <w:szCs w:val="24"/>
              </w:rPr>
              <w:t xml:space="preserve"> norādīts maldinošs ārkārtas palīdzības izsaukuma numurs “01”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kā rezultātā nav ievērotas</w:t>
            </w:r>
            <w:r w:rsidRPr="002259AF">
              <w:rPr>
                <w:rFonts w:ascii="Times New Roman" w:hAnsi="Times New Roman" w:cs="Times New Roman"/>
                <w:sz w:val="24"/>
                <w:szCs w:val="24"/>
              </w:rPr>
              <w:t xml:space="preserve"> Ugunsdrošības noteiku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 199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.punkta prasības</w:t>
            </w:r>
            <w:r w:rsidRPr="00225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088" w:rsidRDefault="00907785" w:rsidP="00C9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  <w:r w:rsidR="0033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24B8">
              <w:t xml:space="preserve"> </w:t>
            </w:r>
            <w:r w:rsidR="00C345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324B8">
              <w:rPr>
                <w:rFonts w:ascii="Times New Roman" w:hAnsi="Times New Roman" w:cs="Times New Roman"/>
                <w:sz w:val="24"/>
                <w:szCs w:val="24"/>
              </w:rPr>
              <w:t>bjekta</w:t>
            </w:r>
            <w:r w:rsidR="003324B8" w:rsidRPr="00961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4B8">
              <w:rPr>
                <w:rFonts w:ascii="Times New Roman" w:hAnsi="Times New Roman" w:cs="Times New Roman"/>
                <w:sz w:val="24"/>
                <w:szCs w:val="24"/>
              </w:rPr>
              <w:t xml:space="preserve">sporta zālē </w:t>
            </w:r>
            <w:r w:rsidR="003324B8" w:rsidRPr="0096130B">
              <w:rPr>
                <w:rFonts w:ascii="Times New Roman" w:hAnsi="Times New Roman" w:cs="Times New Roman"/>
                <w:sz w:val="24"/>
                <w:szCs w:val="24"/>
              </w:rPr>
              <w:t>iekšējās ugunsdzēsības ūdensvada sistēmas cauruļ</w:t>
            </w:r>
            <w:r w:rsidR="003324B8">
              <w:rPr>
                <w:rFonts w:ascii="Times New Roman" w:hAnsi="Times New Roman" w:cs="Times New Roman"/>
                <w:sz w:val="24"/>
                <w:szCs w:val="24"/>
              </w:rPr>
              <w:t xml:space="preserve">vadiem nav atbilstoši krāsojumi, 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kā rezultātā nav ievērotas</w:t>
            </w:r>
            <w:r w:rsidR="003324B8">
              <w:rPr>
                <w:rFonts w:ascii="Times New Roman" w:hAnsi="Times New Roman" w:cs="Times New Roman"/>
                <w:sz w:val="24"/>
                <w:szCs w:val="24"/>
              </w:rPr>
              <w:t xml:space="preserve"> Ug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unsdrošības noteikumu 220.punkta prasības;</w:t>
            </w:r>
          </w:p>
          <w:p w:rsidR="00C921C9" w:rsidRDefault="00907785" w:rsidP="00A05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A05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5976">
              <w:t xml:space="preserve"> </w:t>
            </w:r>
            <w:r w:rsidR="00C345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B2088">
              <w:rPr>
                <w:rFonts w:ascii="Times New Roman" w:hAnsi="Times New Roman" w:cs="Times New Roman"/>
                <w:sz w:val="24"/>
                <w:szCs w:val="24"/>
              </w:rPr>
              <w:t>bjekta 1. stāva evakuācijas ceļā no skolas korpusa uz sporta zāli</w:t>
            </w:r>
            <w:r w:rsidR="00BB2088">
              <w:t xml:space="preserve"> </w:t>
            </w:r>
            <w:r w:rsidR="00BB2088" w:rsidRPr="00C921C9">
              <w:rPr>
                <w:rFonts w:ascii="Times New Roman" w:hAnsi="Times New Roman" w:cs="Times New Roman"/>
                <w:sz w:val="24"/>
                <w:szCs w:val="24"/>
              </w:rPr>
              <w:t>evakuācijai paredzētās durvis ir slēgtas un nav viegli atveramas no telpas iekšpuses bez aizkavēju</w:t>
            </w:r>
            <w:r w:rsidR="00BB2088">
              <w:rPr>
                <w:rFonts w:ascii="Times New Roman" w:hAnsi="Times New Roman" w:cs="Times New Roman"/>
                <w:sz w:val="24"/>
                <w:szCs w:val="24"/>
              </w:rPr>
              <w:t xml:space="preserve">ma (ne ilgāk par trim sekundēm), 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kā rezultātā nav ievērotas</w:t>
            </w:r>
            <w:r w:rsidR="00BB2088" w:rsidRPr="00C9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C0E">
              <w:rPr>
                <w:rFonts w:ascii="Times New Roman" w:hAnsi="Times New Roman" w:cs="Times New Roman"/>
                <w:sz w:val="24"/>
                <w:szCs w:val="24"/>
              </w:rPr>
              <w:t xml:space="preserve">Ugunsdrošības </w:t>
            </w:r>
            <w:r w:rsidR="00BB208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.punkta prasības</w:t>
            </w:r>
            <w:r w:rsidR="00BB2088" w:rsidRPr="00C92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4D45" w:rsidRDefault="00907785" w:rsidP="00A05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Objekta virtuvē ugunsdzēsības aparāts nav novietots</w:t>
            </w:r>
            <w:r w:rsidRPr="00024D45">
              <w:rPr>
                <w:rFonts w:ascii="Times New Roman" w:hAnsi="Times New Roman" w:cs="Times New Roman"/>
                <w:sz w:val="24"/>
                <w:szCs w:val="24"/>
              </w:rPr>
              <w:t xml:space="preserve"> viegli pieejamā vietā (noviet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ots priekšā galds), 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kā rezultātā nav ievērotas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Ugunsdrošības noteikumu 265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.punkta prasības</w:t>
            </w:r>
            <w:r w:rsidRPr="00024D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13D" w:rsidRDefault="00907785" w:rsidP="00A05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6.9. </w:t>
            </w:r>
            <w:r w:rsidR="00C345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4013D">
              <w:rPr>
                <w:rFonts w:ascii="Times New Roman" w:hAnsi="Times New Roman" w:cs="Times New Roman"/>
                <w:sz w:val="24"/>
                <w:szCs w:val="24"/>
              </w:rPr>
              <w:t>bjekta gaite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nī 2.stāvā ugunsdzēsības aparātu</w:t>
            </w:r>
            <w:r w:rsidRPr="0034013D">
              <w:rPr>
                <w:rFonts w:ascii="Times New Roman" w:hAnsi="Times New Roman" w:cs="Times New Roman"/>
                <w:sz w:val="24"/>
                <w:szCs w:val="24"/>
              </w:rPr>
              <w:t xml:space="preserve"> novietojums no ugunsdzēsības aparāta roktura līdz grīd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vai pamat</w:t>
            </w:r>
            <w:r w:rsidR="0096130B">
              <w:rPr>
                <w:rFonts w:ascii="Times New Roman" w:hAnsi="Times New Roman" w:cs="Times New Roman"/>
                <w:sz w:val="24"/>
                <w:szCs w:val="24"/>
              </w:rPr>
              <w:t>nei pārsniedz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m, 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kā rezultātā nav ievērotas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Ugunsdrošības noteikumu 266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.punkta prasības</w:t>
            </w:r>
            <w:r w:rsidRPr="003401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9AF" w:rsidRDefault="00907785" w:rsidP="00A05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="00C34570">
              <w:rPr>
                <w:rFonts w:ascii="Times New Roman" w:hAnsi="Times New Roman" w:cs="Times New Roman"/>
                <w:sz w:val="24"/>
                <w:szCs w:val="24"/>
              </w:rPr>
              <w:t>. O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bjekta virtuvē</w:t>
            </w:r>
            <w:r w:rsidRPr="002259AF">
              <w:rPr>
                <w:rFonts w:ascii="Times New Roman" w:hAnsi="Times New Roman" w:cs="Times New Roman"/>
                <w:sz w:val="24"/>
                <w:szCs w:val="24"/>
              </w:rPr>
              <w:t xml:space="preserve"> ugunsdzēsības aparātu novietojums no ugunsdzēsības aparāta roktura līdz grīdai vai pamatnei pārsnied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z 1,5m, kā rezultātā nav ievērotas</w:t>
            </w:r>
            <w:r w:rsidRPr="002259AF">
              <w:rPr>
                <w:rFonts w:ascii="Times New Roman" w:hAnsi="Times New Roman" w:cs="Times New Roman"/>
                <w:sz w:val="24"/>
                <w:szCs w:val="24"/>
              </w:rPr>
              <w:t xml:space="preserve"> Ug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unsdrošības noteikumu 266.punkta prasības</w:t>
            </w:r>
            <w:r w:rsidRPr="00225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9AF" w:rsidRPr="00E227D8" w:rsidRDefault="00907785" w:rsidP="00A05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6.11. </w:t>
            </w:r>
            <w:r w:rsidRPr="002259AF">
              <w:rPr>
                <w:rFonts w:ascii="Times New Roman" w:hAnsi="Times New Roman" w:cs="Times New Roman"/>
                <w:sz w:val="24"/>
                <w:szCs w:val="24"/>
              </w:rPr>
              <w:t xml:space="preserve">Objektā ugunsdzēsības aparātiem nav </w:t>
            </w:r>
            <w:r w:rsidRPr="002259AF">
              <w:rPr>
                <w:rFonts w:ascii="Times New Roman" w:hAnsi="Times New Roman" w:cs="Times New Roman"/>
                <w:sz w:val="24"/>
                <w:szCs w:val="24"/>
              </w:rPr>
              <w:t>veikta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hniskā stāvokļa vizuālā apskate, </w:t>
            </w:r>
            <w:r w:rsidRPr="002259AF"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 xml:space="preserve"> rezultātā nav ievērotas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Ugunsdrošības noteikumu 267</w:t>
            </w:r>
            <w:r w:rsidR="00DA4640">
              <w:rPr>
                <w:rFonts w:ascii="Times New Roman" w:hAnsi="Times New Roman" w:cs="Times New Roman"/>
                <w:sz w:val="24"/>
                <w:szCs w:val="24"/>
              </w:rPr>
              <w:t>.punkta prasības</w:t>
            </w:r>
            <w:r w:rsidRPr="00225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C54E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C54E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07785" w:rsidP="00DC0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907785" w:rsidP="00C3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34570" w:rsidRPr="00C34570">
              <w:rPr>
                <w:rFonts w:ascii="Times New Roman" w:hAnsi="Times New Roman" w:cs="Times New Roman"/>
                <w:b/>
                <w:sz w:val="24"/>
              </w:rPr>
              <w:t>nepieciešams novērst šī atzinuma 6.punktā minētos pārkāpumus.</w:t>
            </w:r>
          </w:p>
        </w:tc>
      </w:tr>
      <w:tr w:rsidR="008C54E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C54E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2CE6" w:rsidRPr="00CD2CE6">
              <w:rPr>
                <w:rFonts w:ascii="Times New Roman" w:hAnsi="Times New Roman" w:cs="Times New Roman"/>
                <w:sz w:val="24"/>
              </w:rPr>
              <w:t>Ministru kabineta 2009.gada 1.septembra noteikumu Nr.981 „Bērnu nometņu organizēšanas un darbības kārtība” 8.5.apakšpunkta prasībām.</w:t>
            </w:r>
          </w:p>
        </w:tc>
      </w:tr>
      <w:tr w:rsidR="008C54EA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907785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8C54E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90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2CE6" w:rsidRPr="00CD2CE6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:rsidR="008C54EA" w:rsidTr="00F408A7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907785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 vai institūcijas nosaukums, kur paredzēts iesniegt atzinumu)</w:t>
            </w:r>
          </w:p>
        </w:tc>
      </w:tr>
    </w:tbl>
    <w:p w:rsidR="00E227D8" w:rsidRDefault="00907785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907785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C54EA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907785" w:rsidP="00F4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F408A7"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Kurzemes </w:t>
            </w:r>
            <w:r w:rsidR="005C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4EA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907785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8C54EA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907785" w:rsidP="00C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E6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Kurzemes reģiona brigādes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907785" w:rsidP="00C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907785" w:rsidP="00CD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Strazde</w:t>
            </w:r>
          </w:p>
        </w:tc>
      </w:tr>
      <w:tr w:rsidR="008C54EA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907785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907785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907785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907785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8C54EA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EA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90778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90778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907785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RDefault="00762AE8" w:rsidP="00C3457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907785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 xml:space="preserve">DOKUMENTS </w:t>
      </w:r>
      <w:r w:rsidRPr="00762AE8">
        <w:rPr>
          <w:rFonts w:ascii="Times New Roman" w:hAnsi="Times New Roman" w:cs="Times New Roman"/>
          <w:sz w:val="24"/>
          <w:szCs w:val="24"/>
        </w:rPr>
        <w:t>PARAKSTĪTS AR DROŠU ELEKTRONISKO PARAKSTU UN SATUR</w:t>
      </w:r>
    </w:p>
    <w:p w:rsidR="00762AE8" w:rsidRPr="00762AE8" w:rsidRDefault="00907785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85" w:rsidRDefault="00907785">
      <w:pPr>
        <w:spacing w:after="0" w:line="240" w:lineRule="auto"/>
      </w:pPr>
      <w:r>
        <w:separator/>
      </w:r>
    </w:p>
  </w:endnote>
  <w:endnote w:type="continuationSeparator" w:id="0">
    <w:p w:rsidR="00907785" w:rsidRDefault="0090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85" w:rsidRDefault="00907785">
      <w:pPr>
        <w:spacing w:after="0" w:line="240" w:lineRule="auto"/>
      </w:pPr>
      <w:r>
        <w:separator/>
      </w:r>
    </w:p>
  </w:footnote>
  <w:footnote w:type="continuationSeparator" w:id="0">
    <w:p w:rsidR="00907785" w:rsidRDefault="0090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194555041"/>
      <w:docPartObj>
        <w:docPartGallery w:val="Page Numbers (Top of Page)"/>
        <w:docPartUnique/>
      </w:docPartObj>
    </w:sdtPr>
    <w:sdtEndPr/>
    <w:sdtContent>
      <w:p w:rsidR="00E227D8" w:rsidRPr="00762AE8" w:rsidRDefault="00907785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1A0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D8"/>
    <w:rsid w:val="00024D45"/>
    <w:rsid w:val="00070E23"/>
    <w:rsid w:val="0015650A"/>
    <w:rsid w:val="001F7721"/>
    <w:rsid w:val="00200C19"/>
    <w:rsid w:val="002259AF"/>
    <w:rsid w:val="00281811"/>
    <w:rsid w:val="002A02AD"/>
    <w:rsid w:val="003324B8"/>
    <w:rsid w:val="0034013D"/>
    <w:rsid w:val="00342AA1"/>
    <w:rsid w:val="003437F5"/>
    <w:rsid w:val="00346269"/>
    <w:rsid w:val="00364C0E"/>
    <w:rsid w:val="003B78D3"/>
    <w:rsid w:val="003F5A52"/>
    <w:rsid w:val="0041295F"/>
    <w:rsid w:val="00415033"/>
    <w:rsid w:val="00426EBD"/>
    <w:rsid w:val="00441E69"/>
    <w:rsid w:val="00483BBB"/>
    <w:rsid w:val="004901B0"/>
    <w:rsid w:val="004B03FF"/>
    <w:rsid w:val="004B095D"/>
    <w:rsid w:val="004E6B03"/>
    <w:rsid w:val="004F5D0A"/>
    <w:rsid w:val="00544E89"/>
    <w:rsid w:val="005B1767"/>
    <w:rsid w:val="005C1753"/>
    <w:rsid w:val="005D1C44"/>
    <w:rsid w:val="005D635A"/>
    <w:rsid w:val="005E53C6"/>
    <w:rsid w:val="00635786"/>
    <w:rsid w:val="00682895"/>
    <w:rsid w:val="00720C63"/>
    <w:rsid w:val="00736BC1"/>
    <w:rsid w:val="00762AE8"/>
    <w:rsid w:val="007665C9"/>
    <w:rsid w:val="00773B26"/>
    <w:rsid w:val="007805E6"/>
    <w:rsid w:val="00794977"/>
    <w:rsid w:val="00794DFA"/>
    <w:rsid w:val="007A187F"/>
    <w:rsid w:val="007D2C05"/>
    <w:rsid w:val="00884E35"/>
    <w:rsid w:val="008A7347"/>
    <w:rsid w:val="008C54EA"/>
    <w:rsid w:val="008F57F1"/>
    <w:rsid w:val="00907785"/>
    <w:rsid w:val="0096130B"/>
    <w:rsid w:val="00964438"/>
    <w:rsid w:val="0097786E"/>
    <w:rsid w:val="00A025C5"/>
    <w:rsid w:val="00A03583"/>
    <w:rsid w:val="00A05976"/>
    <w:rsid w:val="00A24FDC"/>
    <w:rsid w:val="00A47DBC"/>
    <w:rsid w:val="00A66FAF"/>
    <w:rsid w:val="00A70D21"/>
    <w:rsid w:val="00B00630"/>
    <w:rsid w:val="00B245E2"/>
    <w:rsid w:val="00B42A8D"/>
    <w:rsid w:val="00B44158"/>
    <w:rsid w:val="00B5539A"/>
    <w:rsid w:val="00B60EAD"/>
    <w:rsid w:val="00B97A08"/>
    <w:rsid w:val="00BB2088"/>
    <w:rsid w:val="00BB5A54"/>
    <w:rsid w:val="00BC0DCD"/>
    <w:rsid w:val="00C065B6"/>
    <w:rsid w:val="00C33E3A"/>
    <w:rsid w:val="00C34570"/>
    <w:rsid w:val="00C51BBF"/>
    <w:rsid w:val="00C522E2"/>
    <w:rsid w:val="00C921C9"/>
    <w:rsid w:val="00C946FD"/>
    <w:rsid w:val="00C959F6"/>
    <w:rsid w:val="00CD2CE6"/>
    <w:rsid w:val="00CF3511"/>
    <w:rsid w:val="00CF639B"/>
    <w:rsid w:val="00D639C2"/>
    <w:rsid w:val="00DA1A0C"/>
    <w:rsid w:val="00DA4640"/>
    <w:rsid w:val="00DB3B2E"/>
    <w:rsid w:val="00DC00BA"/>
    <w:rsid w:val="00E0387C"/>
    <w:rsid w:val="00E227D8"/>
    <w:rsid w:val="00E36DB0"/>
    <w:rsid w:val="00E60393"/>
    <w:rsid w:val="00F01ED2"/>
    <w:rsid w:val="00F3463E"/>
    <w:rsid w:val="00F408A7"/>
    <w:rsid w:val="00FA4334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eme@vugd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3259</Words>
  <Characters>1859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Lietotajs</cp:lastModifiedBy>
  <cp:revision>2</cp:revision>
  <cp:lastPrinted>2022-06-20T09:19:00Z</cp:lastPrinted>
  <dcterms:created xsi:type="dcterms:W3CDTF">2022-06-20T09:20:00Z</dcterms:created>
  <dcterms:modified xsi:type="dcterms:W3CDTF">2022-06-20T09:20:00Z</dcterms:modified>
</cp:coreProperties>
</file>