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>
        <w:tblInd w:w="108" w:type="dxa"/>
      </w:tblPr>
      <w:tblGrid>
        <w:gridCol w:w="9356"/>
      </w:tblGrid>
      <w:tr>
        <w:trPr>
          <w:trHeight w:val="1" w:hRule="atLeast"/>
          <w:jc w:val="left"/>
        </w:trPr>
        <w:tc>
          <w:tcPr>
            <w:tcW w:w="9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8"/>
                <w:shd w:fill="auto" w:val="clear"/>
              </w:rPr>
              <w:t xml:space="preserve">Objekta higi</w:t>
            </w:r>
            <w:r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8"/>
                <w:shd w:fill="auto" w:val="clear"/>
              </w:rPr>
              <w:t xml:space="preserve">ēniskais novērtējums</w:t>
            </w:r>
          </w:p>
        </w:tc>
      </w:tr>
      <w:tr>
        <w:trPr>
          <w:trHeight w:val="1" w:hRule="atLeast"/>
          <w:jc w:val="left"/>
        </w:trPr>
        <w:tc>
          <w:tcPr>
            <w:tcW w:w="9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īgā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2909"/>
      </w:tblGrid>
      <w:tr>
        <w:trPr>
          <w:trHeight w:val="1" w:hRule="atLeast"/>
          <w:jc w:val="left"/>
        </w:trPr>
        <w:tc>
          <w:tcPr>
            <w:tcW w:w="2909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06.06.2022</w:t>
            </w:r>
          </w:p>
        </w:tc>
      </w:tr>
    </w:tbl>
    <w:p>
      <w:pPr>
        <w:tabs>
          <w:tab w:val="left" w:pos="382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9356"/>
      </w:tblGrid>
      <w:tr>
        <w:trPr>
          <w:trHeight w:val="1" w:hRule="atLeast"/>
          <w:jc w:val="left"/>
        </w:trPr>
        <w:tc>
          <w:tcPr>
            <w:tcW w:w="9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"/>
              </w:numPr>
              <w:tabs>
                <w:tab w:val="left" w:pos="252" w:leader="none"/>
                <w:tab w:val="left" w:pos="432" w:leader="none"/>
                <w:tab w:val="left" w:pos="702" w:leader="none"/>
                <w:tab w:val="left" w:pos="993" w:leader="none"/>
              </w:tabs>
              <w:spacing w:before="60" w:after="6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Objekta nosaukums: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ērnu dienas nometne GUDRĀ RĪGA “VASARAS PILSĒTAS LABORATORIJAS”</w:t>
            </w:r>
          </w:p>
        </w:tc>
      </w:tr>
      <w:tr>
        <w:trPr>
          <w:trHeight w:val="1" w:hRule="atLeast"/>
          <w:jc w:val="left"/>
        </w:trPr>
        <w:tc>
          <w:tcPr>
            <w:tcW w:w="9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"/>
              </w:numPr>
              <w:tabs>
                <w:tab w:val="left" w:pos="252" w:leader="none"/>
                <w:tab w:val="left" w:pos="432" w:leader="none"/>
                <w:tab w:val="left" w:pos="702" w:leader="none"/>
                <w:tab w:val="left" w:pos="993" w:leader="none"/>
              </w:tabs>
              <w:spacing w:before="60" w:after="6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Objekta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īpašnieks: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Nomnieks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SIA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Smarteens”, 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ģistrācijas Nr. 40203087282</w:t>
            </w:r>
          </w:p>
        </w:tc>
      </w:tr>
      <w:tr>
        <w:trPr>
          <w:trHeight w:val="1" w:hRule="atLeast"/>
          <w:jc w:val="left"/>
        </w:trPr>
        <w:tc>
          <w:tcPr>
            <w:tcW w:w="9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"/>
              </w:numPr>
              <w:tabs>
                <w:tab w:val="left" w:pos="252" w:leader="none"/>
                <w:tab w:val="left" w:pos="432" w:leader="none"/>
                <w:tab w:val="left" w:pos="702" w:leader="none"/>
                <w:tab w:val="left" w:pos="993" w:leader="none"/>
              </w:tabs>
              <w:spacing w:before="60" w:after="6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Objekta adrese: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Viestura iela 6, 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ūrmala</w:t>
            </w:r>
          </w:p>
        </w:tc>
      </w:tr>
      <w:tr>
        <w:trPr>
          <w:trHeight w:val="320" w:hRule="auto"/>
          <w:jc w:val="left"/>
        </w:trPr>
        <w:tc>
          <w:tcPr>
            <w:tcW w:w="9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"/>
              </w:numPr>
              <w:tabs>
                <w:tab w:val="left" w:pos="252" w:leader="none"/>
                <w:tab w:val="left" w:pos="432" w:leader="none"/>
                <w:tab w:val="left" w:pos="702" w:leader="none"/>
                <w:tab w:val="left" w:pos="993" w:leader="none"/>
              </w:tabs>
              <w:spacing w:before="60" w:after="6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Nov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ērtēšanu veica: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06.06.2022. vides veselības analītiķe Jeļena Gorjačeva, pamatojoties uz pamatojoties uz Veselības inspekcijas Sabiedrības veselības kontroles nodaļas 22.03.2022. kontroles aktu Nr.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00144722</w:t>
            </w:r>
          </w:p>
        </w:tc>
      </w:tr>
      <w:tr>
        <w:trPr>
          <w:trHeight w:val="1" w:hRule="atLeast"/>
          <w:jc w:val="left"/>
        </w:trPr>
        <w:tc>
          <w:tcPr>
            <w:tcW w:w="9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"/>
              </w:numPr>
              <w:tabs>
                <w:tab w:val="left" w:pos="252" w:leader="none"/>
                <w:tab w:val="left" w:pos="432" w:leader="none"/>
                <w:tab w:val="left" w:pos="702" w:leader="none"/>
                <w:tab w:val="left" w:pos="993" w:leader="none"/>
              </w:tabs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Nov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ērtēšanā piedalījās: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Pārdošanas vadītāja Ingrīda Egle</w:t>
            </w:r>
          </w:p>
        </w:tc>
      </w:tr>
      <w:tr>
        <w:trPr>
          <w:trHeight w:val="1" w:hRule="atLeast"/>
          <w:jc w:val="left"/>
        </w:trPr>
        <w:tc>
          <w:tcPr>
            <w:tcW w:w="9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"/>
              </w:numPr>
              <w:tabs>
                <w:tab w:val="left" w:pos="252" w:leader="none"/>
                <w:tab w:val="left" w:pos="432" w:leader="none"/>
                <w:tab w:val="left" w:pos="702" w:leader="none"/>
                <w:tab w:val="left" w:pos="993" w:leader="none"/>
              </w:tabs>
              <w:spacing w:before="60" w:after="6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Konstat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ēts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6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6.1. Visp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ārīgās ziņas par objektu/ objekta raksturojums</w:t>
            </w:r>
          </w:p>
          <w:p>
            <w:pPr>
              <w:spacing w:before="0" w:after="0" w:line="240"/>
              <w:ind w:right="6" w:left="0" w:firstLine="176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SIA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Smarteens” 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īko bērnu dienas nometni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Jauk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ā vasara” Bulduru Dārzkopības vidusskolas telpās un tā teritorijā, gan arī ārpus teritorijas. Nometne sāksies 04.07.2022. un ilgs līdz 22.07.2022., kurā piedalīsies 50 dalībnieki. Dalībnieku vecums 7-15 gadi. Katra maiņa ilgst 5 dienas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no pirmdienas 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īdz piektdienai. Nometne norisināsies maiņās: 1. maiņa: 04. - 08. jūlijs; 2. maiņa: 11. - 15. jūlijs; 3.maiņa: 18. - 22. jūlijs. </w:t>
            </w:r>
          </w:p>
          <w:p>
            <w:pPr>
              <w:spacing w:before="0" w:after="0" w:line="240"/>
              <w:ind w:right="6" w:left="0" w:firstLine="176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Nometnes vajadz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ībām tiks izmantotas telpas Nr. 132 (mācību kabinets ar kopējo platību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70,5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 un Nr. 118 (degust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ācijas telpa ar kopējo platību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168,3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), tualetes telpas koplieto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šanas koridorā. Tualetes telpās personīgās higiēnas ievērošanas apstākļi ir nodrošināti. </w:t>
            </w:r>
          </w:p>
          <w:p>
            <w:pPr>
              <w:spacing w:before="0" w:after="0" w:line="240"/>
              <w:ind w:right="6" w:left="0" w:firstLine="176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Programm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ā ir paredzētas zinātniskie pētījumi, spēles, pastaigas un citas aizraujošas aktivitātes. Dalībnieku ēdināšana paredzēta trīs reizes dienā (brokastis, pusdienas, launags). Nometnes vadītāja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Je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ļena Petrova, bērnu nometņu vadītājas apliecības Nr. 116-00890, tālrunis 25628269.</w:t>
            </w:r>
          </w:p>
          <w:p>
            <w:pPr>
              <w:spacing w:before="0" w:after="0" w:line="240"/>
              <w:ind w:right="6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6.2. Iek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štelpu virsmu apdare</w:t>
            </w:r>
          </w:p>
          <w:p>
            <w:pPr>
              <w:spacing w:before="0" w:after="0" w:line="240"/>
              <w:ind w:right="6" w:left="0" w:firstLine="176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Telpu apdarei izmantotie materi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āli ir cilvēku veselībai nekaitīgi un atbilst telpu izmantošanas</w:t>
            </w:r>
          </w:p>
          <w:p>
            <w:pPr>
              <w:spacing w:before="0" w:after="0" w:line="240"/>
              <w:ind w:right="6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specifikai.</w:t>
            </w:r>
          </w:p>
          <w:p>
            <w:pPr>
              <w:spacing w:before="0" w:after="0" w:line="240"/>
              <w:ind w:right="6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6.3. Apgaismojums</w:t>
            </w:r>
          </w:p>
          <w:p>
            <w:pPr>
              <w:spacing w:before="0" w:after="0" w:line="240"/>
              <w:ind w:right="6" w:left="0" w:firstLine="176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Dabiskais un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ākslīgais apgaismojums.</w:t>
            </w:r>
          </w:p>
          <w:p>
            <w:pPr>
              <w:spacing w:before="0" w:after="0" w:line="240"/>
              <w:ind w:right="6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6.4. Siltumapg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āde </w:t>
            </w:r>
          </w:p>
          <w:p>
            <w:pPr>
              <w:spacing w:before="0" w:after="0" w:line="240"/>
              <w:ind w:right="6" w:left="0" w:firstLine="176"/>
              <w:jc w:val="left"/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Centraliz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ētā siltumapgādes sistēma. </w:t>
            </w:r>
          </w:p>
          <w:p>
            <w:pPr>
              <w:spacing w:before="0" w:after="0" w:line="240"/>
              <w:ind w:right="6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6.5. Gaisa apmai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ņa </w:t>
            </w:r>
          </w:p>
          <w:p>
            <w:pPr>
              <w:spacing w:before="0" w:after="0" w:line="240"/>
              <w:ind w:right="6" w:left="0" w:firstLine="176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Telpu 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ēdināšana dabiskā caur logiem, durvīm un piespiedu nosūces ventilācijas sistēma.</w:t>
            </w:r>
          </w:p>
          <w:p>
            <w:pPr>
              <w:spacing w:before="0" w:after="0" w:line="240"/>
              <w:ind w:right="6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6.6.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Ūdens apgāde</w:t>
            </w:r>
          </w:p>
          <w:p>
            <w:pPr>
              <w:spacing w:before="0" w:after="0" w:line="240"/>
              <w:ind w:right="0" w:left="0" w:firstLine="176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Centraliz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ēta.</w:t>
            </w:r>
          </w:p>
          <w:p>
            <w:pPr>
              <w:spacing w:before="0" w:after="0" w:line="240"/>
              <w:ind w:right="6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6.7. Kanaliz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ācijas sistēma</w:t>
            </w:r>
          </w:p>
          <w:p>
            <w:pPr>
              <w:spacing w:before="0" w:after="0" w:line="240"/>
              <w:ind w:right="6" w:left="0" w:firstLine="176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Piesl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ēgums centralizētajiem kanalizācijas tīkliem. </w:t>
            </w:r>
          </w:p>
          <w:p>
            <w:pPr>
              <w:spacing w:before="0" w:after="0" w:line="240"/>
              <w:ind w:right="6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6.8. Teritorijas labiek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ārtošana</w:t>
            </w:r>
          </w:p>
          <w:p>
            <w:pPr>
              <w:spacing w:before="0" w:after="0" w:line="240"/>
              <w:ind w:right="6" w:left="0" w:firstLine="176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Teritorija ir sakopta un 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īra.</w:t>
            </w:r>
          </w:p>
          <w:p>
            <w:pPr>
              <w:spacing w:before="0" w:after="0" w:line="240"/>
              <w:ind w:right="6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6.9. Vides pieejam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ība</w:t>
            </w:r>
          </w:p>
          <w:p>
            <w:pPr>
              <w:spacing w:before="0" w:after="0" w:line="240"/>
              <w:ind w:right="6" w:left="0" w:firstLine="176"/>
              <w:jc w:val="left"/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Nometnes darb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ībā nepiedalīsies dalībnieki ar funkcionālajiem traucējumiem.</w:t>
            </w:r>
          </w:p>
          <w:p>
            <w:pPr>
              <w:spacing w:before="0" w:after="0" w:line="240"/>
              <w:ind w:right="6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6.10.Riska faktoru nov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ērtēšana un cita informācija</w:t>
            </w:r>
          </w:p>
          <w:p>
            <w:pPr>
              <w:tabs>
                <w:tab w:val="left" w:pos="993" w:leader="none"/>
              </w:tabs>
              <w:spacing w:before="0" w:after="0" w:line="240"/>
              <w:ind w:right="0" w:left="0" w:firstLine="176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Nav.</w:t>
            </w:r>
          </w:p>
        </w:tc>
      </w:tr>
      <w:tr>
        <w:trPr>
          <w:trHeight w:val="1" w:hRule="atLeast"/>
          <w:jc w:val="left"/>
        </w:trPr>
        <w:tc>
          <w:tcPr>
            <w:tcW w:w="9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93" w:leader="none"/>
              </w:tabs>
              <w:spacing w:before="60" w:after="6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  <w:t xml:space="preserve"> Sl</w:t>
            </w:r>
            <w:r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  <w:t xml:space="preserve">ēdziens</w:t>
            </w:r>
          </w:p>
          <w:p>
            <w:pPr>
              <w:spacing w:before="0" w:after="0" w:line="240"/>
              <w:ind w:right="0" w:left="0" w:firstLine="176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Objekts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ērnu dienas nometne GUDRĀ RĪGA “VASARAS PILSĒTAS LABORATORIJAS””  Viestura ielā 6, Jūrmalā atbilst higiēnas prasībām.</w:t>
            </w:r>
          </w:p>
        </w:tc>
      </w:tr>
      <w:tr>
        <w:trPr>
          <w:trHeight w:val="1" w:hRule="atLeast"/>
          <w:jc w:val="left"/>
        </w:trPr>
        <w:tc>
          <w:tcPr>
            <w:tcW w:w="9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0"/>
              </w:numPr>
              <w:tabs>
                <w:tab w:val="left" w:pos="342" w:leader="none"/>
                <w:tab w:val="left" w:pos="993" w:leader="none"/>
              </w:tabs>
              <w:spacing w:before="60" w:after="60" w:line="240"/>
              <w:ind w:right="0" w:left="0" w:firstLine="72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Rekomend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ējamie pasākumi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Objekta darb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ības laikā ievērot 28.09.2021. Ministru kabineta noteikumu Nr. 662 “Epidemioloģiskās drošības pasākumi Covid-19 infekcijas izplatības ierobežošanai” prasības;</w:t>
            </w:r>
          </w:p>
          <w:p>
            <w:pPr>
              <w:tabs>
                <w:tab w:val="left" w:pos="34" w:leader="none"/>
                <w:tab w:val="left" w:pos="342" w:leader="none"/>
                <w:tab w:val="left" w:pos="993" w:leader="none"/>
              </w:tabs>
              <w:spacing w:before="60" w:after="6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Objekta darb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ības laikā ievērot ar Veselības ministriju 07.04.2022. saskaņotās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Vadl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īnijas piesardzības pasākumiem bērnu nometņu organizētājiem” un regulāri sekot līdzi vadlīniju papildinājumiem un/vai atjauninājumiem. </w:t>
            </w:r>
          </w:p>
          <w:p>
            <w:pPr>
              <w:tabs>
                <w:tab w:val="left" w:pos="342" w:leader="none"/>
                <w:tab w:val="left" w:pos="993" w:leader="none"/>
              </w:tabs>
              <w:spacing w:before="0" w:after="0" w:line="240"/>
              <w:ind w:right="0" w:left="72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Iev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ērot Ministru kabineta 01.09.2009. noteikumus Nr. 981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ērnu nometņu organizēšanas un darbības kārtība”, kā arī nodrošināt pretepidēmiskā režīma ievērošanu un bērnu veselībai drošu vidi.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7655"/>
        <w:gridCol w:w="1701"/>
      </w:tblGrid>
      <w:tr>
        <w:trPr>
          <w:trHeight w:val="1" w:hRule="atLeast"/>
          <w:jc w:val="left"/>
        </w:trPr>
        <w:tc>
          <w:tcPr>
            <w:tcW w:w="7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hanging="108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Sabiedr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ības veselības departamenta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958" w:firstLine="85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hanging="108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Higi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ēnas novērtēšanas nodaļas vides veselības analītiķe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390" w:leader="none"/>
              </w:tabs>
              <w:spacing w:before="0" w:after="0" w:line="240"/>
              <w:ind w:right="-108" w:left="142" w:hanging="25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ļena Gorjačeva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9356"/>
      </w:tblGrid>
      <w:tr>
        <w:trPr>
          <w:trHeight w:val="1" w:hRule="atLeast"/>
          <w:jc w:val="left"/>
        </w:trPr>
        <w:tc>
          <w:tcPr>
            <w:tcW w:w="9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ļena Gorjačeva, tālr.67081644</w:t>
            </w:r>
          </w:p>
        </w:tc>
      </w:tr>
      <w:tr>
        <w:trPr>
          <w:trHeight w:val="1" w:hRule="atLeast"/>
          <w:jc w:val="left"/>
        </w:trPr>
        <w:tc>
          <w:tcPr>
            <w:tcW w:w="9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jelena.gorjaceva@vi.gov.lv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12">
    <w:abstractNumId w:val="36"/>
  </w:num>
  <w:num w:numId="15">
    <w:abstractNumId w:val="30"/>
  </w:num>
  <w:num w:numId="17">
    <w:abstractNumId w:val="24"/>
  </w:num>
  <w:num w:numId="20">
    <w:abstractNumId w:val="18"/>
  </w:num>
  <w:num w:numId="23">
    <w:abstractNumId w:val="12"/>
  </w:num>
  <w:num w:numId="25">
    <w:abstractNumId w:val="6"/>
  </w:num>
  <w:num w:numId="5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